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tabs>
          <w:tab w:leader="none" w:pos="1360" w:val="left"/>
          <w:tab w:leader="none" w:pos="2200" w:val="left"/>
        </w:tabs>
        <w:rPr>
          <w:sz w:val="20"/>
          <w:szCs w:val="20"/>
          <w:color w:val="auto"/>
        </w:rPr>
      </w:pPr>
      <w:r>
        <w:rPr>
          <w:rFonts w:ascii="Courier New" w:cs="Courier New" w:eastAsia="Courier New" w:hAnsi="Courier New"/>
          <w:sz w:val="18"/>
          <w:szCs w:val="18"/>
          <w:color w:val="auto"/>
        </w:rPr>
        <w:t>Washington,</w:t>
        <w:tab/>
        <w:t>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139"/>
          </w:cols>
          <w:pgMar w:left="320" w:top="649" w:right="1440" w:bottom="0" w:gutter="0" w:footer="0" w:header="0"/>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2</w:t>
      </w:r>
    </w:p>
    <w:p>
      <w:pPr>
        <w:spacing w:after="0" w:line="200" w:lineRule="exact"/>
        <w:rPr>
          <w:sz w:val="24"/>
          <w:szCs w:val="24"/>
          <w:color w:val="auto"/>
        </w:rPr>
      </w:pPr>
    </w:p>
    <w:p>
      <w:pPr>
        <w:sectPr>
          <w:pgSz w:w="11900" w:h="16838" w:orient="portrait"/>
          <w:cols w:equalWidth="0" w:num="2">
            <w:col w:w="960" w:space="200"/>
            <w:col w:w="8979"/>
          </w:cols>
          <w:pgMar w:left="320" w:top="649"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w:t>
      </w:r>
    </w:p>
    <w:p>
      <w:pPr>
        <w:spacing w:after="0" w:line="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Issuer:</w:t>
      </w:r>
      <w:r>
        <w:rPr>
          <w:sz w:val="20"/>
          <w:szCs w:val="20"/>
          <w:color w:val="auto"/>
        </w:rPr>
        <w:tab/>
      </w:r>
      <w:r>
        <w:rPr>
          <w:rFonts w:ascii="Courier New" w:cs="Courier New" w:eastAsia="Courier New" w:hAnsi="Courier New"/>
          <w:sz w:val="16"/>
          <w:szCs w:val="16"/>
          <w:color w:val="auto"/>
        </w:rPr>
        <w:t>WORLD FUEL SVCS CORP</w:t>
      </w:r>
    </w:p>
    <w:p>
      <w:pPr>
        <w:sectPr>
          <w:pgSz w:w="11900" w:h="16838" w:orient="portrait"/>
          <w:cols w:equalWidth="0" w:num="1">
            <w:col w:w="10139"/>
          </w:cols>
          <w:pgMar w:left="320" w:top="649" w:right="1440" w:bottom="0" w:gutter="0" w:footer="0" w:header="0"/>
          <w:type w:val="continuous"/>
        </w:sectPr>
      </w:pP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w:t>
      </w:r>
    </w:p>
    <w:p>
      <w:pPr>
        <w:spacing w:after="0"/>
        <w:tabs>
          <w:tab w:leader="none" w:pos="1680" w:val="left"/>
        </w:tabs>
        <w:rPr>
          <w:sz w:val="20"/>
          <w:szCs w:val="20"/>
          <w:color w:val="auto"/>
        </w:rPr>
      </w:pPr>
      <w:r>
        <w:rPr>
          <w:rFonts w:ascii="Courier New" w:cs="Courier New" w:eastAsia="Courier New" w:hAnsi="Courier New"/>
          <w:sz w:val="18"/>
          <w:szCs w:val="18"/>
          <w:color w:val="auto"/>
        </w:rPr>
        <w:t>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I.R.S. IDENTIFICATION NO. OF REPORTING PERSON</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4780" w:type="dxa"/>
            <w:vAlign w:val="bottom"/>
          </w:tcPr>
          <w:p>
            <w:pPr>
              <w:spacing w:after="0"/>
              <w:rPr>
                <w:sz w:val="20"/>
                <w:szCs w:val="20"/>
                <w:color w:val="auto"/>
              </w:rPr>
            </w:pPr>
            <w:r>
              <w:rPr>
                <w:rFonts w:ascii="Courier New" w:cs="Courier New" w:eastAsia="Courier New" w:hAnsi="Courier New"/>
                <w:sz w:val="18"/>
                <w:szCs w:val="18"/>
                <w:color w:val="auto"/>
              </w:rPr>
              <w:t>The Prudential Insurance Company of America</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22-1211670</w:t>
            </w:r>
          </w:p>
        </w:tc>
      </w:tr>
    </w:tbl>
    <w:p>
      <w:pPr>
        <w:spacing w:after="0" w:line="201" w:lineRule="exact"/>
        <w:rPr>
          <w:sz w:val="24"/>
          <w:szCs w:val="24"/>
          <w:color w:val="auto"/>
        </w:rPr>
      </w:pPr>
    </w:p>
    <w:p>
      <w:pPr>
        <w:spacing w:after="0"/>
        <w:tabs>
          <w:tab w:leader="none" w:pos="2520" w:val="left"/>
          <w:tab w:leader="none" w:pos="3040" w:val="left"/>
        </w:tabs>
        <w:rPr>
          <w:sz w:val="20"/>
          <w:szCs w:val="20"/>
          <w:color w:val="auto"/>
        </w:rPr>
      </w:pPr>
      <w:r>
        <w:rPr>
          <w:rFonts w:ascii="Courier New" w:cs="Courier New" w:eastAsia="Courier New" w:hAnsi="Courier New"/>
          <w:sz w:val="18"/>
          <w:szCs w:val="18"/>
          <w:color w:val="auto"/>
        </w:rPr>
        <w:t>2.) MEMBER OF A GROUP:</w:t>
        <w:tab/>
        <w:t>(a)</w:t>
      </w:r>
      <w:r>
        <w:rPr>
          <w:sz w:val="20"/>
          <w:szCs w:val="20"/>
          <w:color w:val="auto"/>
        </w:rPr>
        <w:tab/>
      </w:r>
      <w:r>
        <w:rPr>
          <w:rFonts w:ascii="Courier New" w:cs="Courier New" w:eastAsia="Courier New" w:hAnsi="Courier New"/>
          <w:sz w:val="16"/>
          <w:szCs w:val="16"/>
          <w:color w:val="auto"/>
        </w:rPr>
        <w:t>N/A</w:t>
      </w:r>
    </w:p>
    <w:p>
      <w:pPr>
        <w:ind w:left="42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(b)</w:t>
        <w:tab/>
        <w:t>N/A</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PLACE OF ORGANIZATION:</w:t>
            </w:r>
          </w:p>
        </w:tc>
        <w:tc>
          <w:tcPr>
            <w:tcW w:w="3940" w:type="dxa"/>
            <w:vAlign w:val="bottom"/>
          </w:tcPr>
          <w:p>
            <w:pPr>
              <w:ind w:left="160"/>
              <w:spacing w:after="0"/>
              <w:rPr>
                <w:sz w:val="20"/>
                <w:szCs w:val="20"/>
                <w:color w:val="auto"/>
              </w:rPr>
            </w:pPr>
            <w:r>
              <w:rPr>
                <w:rFonts w:ascii="Courier New" w:cs="Courier New" w:eastAsia="Courier New" w:hAnsi="Courier New"/>
                <w:sz w:val="18"/>
                <w:szCs w:val="18"/>
                <w:color w:val="auto"/>
                <w:w w:val="96"/>
              </w:rPr>
              <w:t>A mutual insurance company organized</w:t>
            </w:r>
          </w:p>
        </w:tc>
      </w:tr>
      <w:tr>
        <w:trPr>
          <w:trHeight w:val="203"/>
        </w:trPr>
        <w:tc>
          <w:tcPr>
            <w:tcW w:w="320" w:type="dxa"/>
            <w:vAlign w:val="bottom"/>
          </w:tcPr>
          <w:p>
            <w:pPr>
              <w:spacing w:after="0"/>
              <w:rPr>
                <w:sz w:val="17"/>
                <w:szCs w:val="17"/>
                <w:color w:val="auto"/>
              </w:rPr>
            </w:pPr>
          </w:p>
        </w:tc>
        <w:tc>
          <w:tcPr>
            <w:tcW w:w="68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under the laws of the State of New Jersey</w:t>
            </w:r>
          </w:p>
        </w:tc>
      </w:tr>
      <w:tr>
        <w:trPr>
          <w:trHeight w:val="405"/>
        </w:trPr>
        <w:tc>
          <w:tcPr>
            <w:tcW w:w="716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BENEFICIALLY OWNED BY REPORTING PERSON WITH:</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3940" w:type="dxa"/>
            <w:vAlign w:val="bottom"/>
          </w:tcPr>
          <w:p>
            <w:pPr>
              <w:ind w:left="1840"/>
              <w:spacing w:after="0"/>
              <w:rPr>
                <w:sz w:val="20"/>
                <w:szCs w:val="20"/>
                <w:color w:val="auto"/>
              </w:rPr>
            </w:pPr>
            <w:r>
              <w:rPr>
                <w:rFonts w:ascii="Courier New" w:cs="Courier New" w:eastAsia="Courier New" w:hAnsi="Courier New"/>
                <w:sz w:val="18"/>
                <w:szCs w:val="18"/>
                <w:color w:val="auto"/>
              </w:rPr>
              <w:t>Not Applicable</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9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9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39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6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AGGREGATE AMOUNT BENEFICIALLY OWNED:</w:t>
            </w:r>
          </w:p>
        </w:tc>
      </w:tr>
      <w:tr>
        <w:trPr>
          <w:trHeight w:val="203"/>
        </w:trPr>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 Applicable</w:t>
            </w:r>
          </w:p>
        </w:tc>
      </w:tr>
    </w:tbl>
    <w:p>
      <w:pPr>
        <w:spacing w:after="0" w:line="201" w:lineRule="exact"/>
        <w:rPr>
          <w:sz w:val="24"/>
          <w:szCs w:val="24"/>
          <w:color w:val="auto"/>
        </w:rPr>
      </w:pPr>
    </w:p>
    <w:p>
      <w:pPr>
        <w:spacing w:after="0"/>
        <w:tabs>
          <w:tab w:leader="none" w:pos="520" w:val="left"/>
          <w:tab w:leader="none" w:pos="5880" w:val="left"/>
        </w:tabs>
        <w:rPr>
          <w:sz w:val="20"/>
          <w:szCs w:val="20"/>
          <w:color w:val="auto"/>
        </w:rPr>
      </w:pPr>
      <w:r>
        <w:rPr>
          <w:rFonts w:ascii="Courier New" w:cs="Courier New" w:eastAsia="Courier New" w:hAnsi="Courier New"/>
          <w:sz w:val="18"/>
          <w:szCs w:val="18"/>
          <w:color w:val="auto"/>
        </w:rPr>
        <w:t>10)</w:t>
        <w:tab/>
        <w:t>AGGREGATE AMOUNT IN ROW (9) EXCLUDES SHARES:</w:t>
      </w:r>
      <w:r>
        <w:rPr>
          <w:sz w:val="20"/>
          <w:szCs w:val="20"/>
          <w:color w:val="auto"/>
        </w:rPr>
        <w:tab/>
      </w:r>
      <w:r>
        <w:rPr>
          <w:rFonts w:ascii="Courier New" w:cs="Courier New" w:eastAsia="Courier New" w:hAnsi="Courier New"/>
          <w:sz w:val="16"/>
          <w:szCs w:val="16"/>
          <w:color w:val="auto"/>
        </w:rPr>
        <w:t>Not Applicable</w:t>
      </w:r>
    </w:p>
    <w:p>
      <w:pPr>
        <w:spacing w:after="0" w:line="207" w:lineRule="exact"/>
        <w:rPr>
          <w:sz w:val="24"/>
          <w:szCs w:val="24"/>
          <w:color w:val="auto"/>
        </w:rPr>
      </w:pPr>
    </w:p>
    <w:p>
      <w:pPr>
        <w:ind w:left="2640" w:right="4439" w:hanging="2632"/>
        <w:spacing w:after="0" w:line="235" w:lineRule="auto"/>
        <w:tabs>
          <w:tab w:leader="none" w:pos="42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IA</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WORLD FUEL SVCS CORP</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EXECUTIVE OFFICES:</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WORLD FUEL SVCS CORP</w:t>
      </w:r>
    </w:p>
    <w:p>
      <w:pPr>
        <w:spacing w:after="0" w:line="238" w:lineRule="auto"/>
        <w:rPr>
          <w:sz w:val="20"/>
          <w:szCs w:val="20"/>
          <w:color w:val="auto"/>
        </w:rPr>
      </w:pPr>
      <w:r>
        <w:rPr>
          <w:rFonts w:ascii="Courier New" w:cs="Courier New" w:eastAsia="Courier New" w:hAnsi="Courier New"/>
          <w:sz w:val="18"/>
          <w:szCs w:val="18"/>
          <w:color w:val="auto"/>
        </w:rPr>
        <w:t>700 So. Royal Poinciana Blvd</w:t>
      </w:r>
    </w:p>
    <w:p>
      <w:pPr>
        <w:spacing w:after="0" w:line="238" w:lineRule="auto"/>
        <w:rPr>
          <w:sz w:val="20"/>
          <w:szCs w:val="20"/>
          <w:color w:val="auto"/>
        </w:rPr>
      </w:pPr>
      <w:r>
        <w:rPr>
          <w:rFonts w:ascii="Courier New" w:cs="Courier New" w:eastAsia="Courier New" w:hAnsi="Courier New"/>
          <w:sz w:val="18"/>
          <w:szCs w:val="18"/>
          <w:color w:val="auto"/>
        </w:rPr>
        <w:t>Suite 800</w:t>
      </w:r>
    </w:p>
    <w:p>
      <w:pPr>
        <w:spacing w:after="0"/>
        <w:tabs>
          <w:tab w:leader="none" w:pos="1980" w:val="left"/>
        </w:tabs>
        <w:rPr>
          <w:sz w:val="20"/>
          <w:szCs w:val="20"/>
          <w:color w:val="auto"/>
        </w:rPr>
      </w:pPr>
      <w:r>
        <w:rPr>
          <w:rFonts w:ascii="Courier New" w:cs="Courier New" w:eastAsia="Courier New" w:hAnsi="Courier New"/>
          <w:sz w:val="18"/>
          <w:szCs w:val="18"/>
          <w:color w:val="auto"/>
        </w:rPr>
        <w:t>Miami Springs, FL</w:t>
        <w:tab/>
        <w:t>33166</w:t>
      </w:r>
    </w:p>
    <w:p>
      <w:pPr>
        <w:spacing w:after="0" w:line="200" w:lineRule="exact"/>
        <w:rPr>
          <w:sz w:val="24"/>
          <w:szCs w:val="24"/>
          <w:color w:val="auto"/>
        </w:rPr>
      </w:pP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The Prudential Insurance Company of America</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751 Broad Street</w:t>
      </w:r>
    </w:p>
    <w:p>
      <w:pPr>
        <w:ind w:left="2540"/>
        <w:spacing w:after="0"/>
        <w:tabs>
          <w:tab w:leader="none" w:pos="4620" w:val="left"/>
        </w:tabs>
        <w:rPr>
          <w:sz w:val="20"/>
          <w:szCs w:val="20"/>
          <w:color w:val="auto"/>
        </w:rPr>
      </w:pPr>
      <w:r>
        <w:rPr>
          <w:rFonts w:ascii="Courier New" w:cs="Courier New" w:eastAsia="Courier New" w:hAnsi="Courier New"/>
          <w:sz w:val="18"/>
          <w:szCs w:val="18"/>
          <w:color w:val="auto"/>
        </w:rPr>
        <w:t>Newark, New Jersey</w:t>
      </w:r>
      <w:r>
        <w:rPr>
          <w:sz w:val="20"/>
          <w:szCs w:val="20"/>
          <w:color w:val="auto"/>
        </w:rPr>
        <w:tab/>
      </w:r>
      <w:r>
        <w:rPr>
          <w:rFonts w:ascii="Courier New" w:cs="Courier New" w:eastAsia="Courier New" w:hAnsi="Courier New"/>
          <w:sz w:val="16"/>
          <w:szCs w:val="16"/>
          <w:color w:val="auto"/>
        </w:rPr>
        <w:t>07102-3777</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4"/>
          <w:szCs w:val="24"/>
          <w:color w:val="auto"/>
        </w:rPr>
      </w:pPr>
    </w:p>
    <w:p>
      <w:pPr>
        <w:ind w:left="2540" w:right="1919"/>
        <w:spacing w:after="0" w:line="235" w:lineRule="auto"/>
        <w:rPr>
          <w:sz w:val="20"/>
          <w:szCs w:val="20"/>
          <w:color w:val="auto"/>
        </w:rPr>
      </w:pPr>
      <w:r>
        <w:rPr>
          <w:rFonts w:ascii="Courier New" w:cs="Courier New" w:eastAsia="Courier New" w:hAnsi="Courier New"/>
          <w:sz w:val="18"/>
          <w:szCs w:val="18"/>
          <w:color w:val="auto"/>
        </w:rPr>
        <w:t>A mutual insurance company organized under the laws of the State of New Jersey</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139"/>
          </w:cols>
          <w:pgMar w:left="320" w:top="649" w:right="1440" w:bottom="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0"/>
          <w:szCs w:val="20"/>
          <w:color w:val="auto"/>
        </w:rPr>
      </w:pPr>
    </w:p>
    <w:p>
      <w:pPr>
        <w:ind w:left="1700" w:right="2439" w:hanging="2527"/>
        <w:spacing w:after="0" w:line="268" w:lineRule="auto"/>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statement is an Insurance Company as defined in Section 3(a) (19) of the Securities</w:t>
      </w:r>
    </w:p>
    <w:p>
      <w:pPr>
        <w:spacing w:after="0" w:line="233" w:lineRule="auto"/>
        <w:rPr>
          <w:sz w:val="20"/>
          <w:szCs w:val="20"/>
          <w:color w:val="auto"/>
        </w:rPr>
      </w:pPr>
      <w:r>
        <w:rPr>
          <w:rFonts w:ascii="Courier New" w:cs="Courier New" w:eastAsia="Courier New" w:hAnsi="Courier New"/>
          <w:sz w:val="18"/>
          <w:szCs w:val="18"/>
          <w:color w:val="auto"/>
        </w:rPr>
        <w:t>Exchange</w:t>
      </w:r>
    </w:p>
    <w:p>
      <w:pPr>
        <w:spacing w:after="0" w:line="5" w:lineRule="exact"/>
        <w:rPr>
          <w:sz w:val="20"/>
          <w:szCs w:val="20"/>
          <w:color w:val="auto"/>
        </w:rPr>
      </w:pPr>
    </w:p>
    <w:p>
      <w:pPr>
        <w:ind w:left="2540" w:right="1819"/>
        <w:spacing w:after="0" w:line="290" w:lineRule="auto"/>
        <w:rPr>
          <w:sz w:val="20"/>
          <w:szCs w:val="20"/>
          <w:color w:val="auto"/>
        </w:rPr>
      </w:pPr>
      <w:r>
        <w:rPr>
          <w:rFonts w:ascii="Courier New" w:cs="Courier New" w:eastAsia="Courier New" w:hAnsi="Courier New"/>
          <w:sz w:val="16"/>
          <w:szCs w:val="16"/>
          <w:color w:val="auto"/>
        </w:rPr>
        <w:t>Act of 1934, and an Investment Adviser registered under Section 203 of the Investment Advisers Act of 1940.</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 Number of Shares</w:t>
      </w:r>
    </w:p>
    <w:p>
      <w:pPr>
        <w:ind w:left="2320"/>
        <w:spacing w:after="0"/>
        <w:tabs>
          <w:tab w:leader="none" w:pos="610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Number</w:t>
      </w:r>
    </w:p>
    <w:p>
      <w:pPr>
        <w:ind w:left="1700"/>
        <w:spacing w:after="0"/>
        <w:tabs>
          <w:tab w:leader="none" w:pos="5880" w:val="left"/>
        </w:tabs>
        <w:rPr>
          <w:sz w:val="20"/>
          <w:szCs w:val="20"/>
          <w:color w:val="auto"/>
        </w:rPr>
      </w:pPr>
      <w:r>
        <w:rPr>
          <w:rFonts w:ascii="Courier New" w:cs="Courier New" w:eastAsia="Courier New" w:hAnsi="Courier New"/>
          <w:sz w:val="18"/>
          <w:szCs w:val="18"/>
          <w:color w:val="auto"/>
        </w:rPr>
        <w:t>(c) Powers</w:t>
      </w:r>
      <w:r>
        <w:rPr>
          <w:sz w:val="20"/>
          <w:szCs w:val="20"/>
          <w:color w:val="auto"/>
        </w:rPr>
        <w:tab/>
      </w:r>
      <w:r>
        <w:rPr>
          <w:rFonts w:ascii="Courier New" w:cs="Courier New" w:eastAsia="Courier New" w:hAnsi="Courier New"/>
          <w:sz w:val="16"/>
          <w:szCs w:val="16"/>
          <w:color w:val="auto"/>
        </w:rPr>
        <w:t>Of Shares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ind w:left="2220"/>
        <w:spacing w:after="0"/>
        <w:tabs>
          <w:tab w:leader="none" w:pos="7780" w:val="left"/>
        </w:tabs>
        <w:rPr>
          <w:sz w:val="20"/>
          <w:szCs w:val="20"/>
          <w:color w:val="auto"/>
        </w:rPr>
      </w:pPr>
      <w:r>
        <w:rPr>
          <w:rFonts w:ascii="Courier New" w:cs="Courier New" w:eastAsia="Courier New" w:hAnsi="Courier New"/>
          <w:sz w:val="18"/>
          <w:szCs w:val="18"/>
          <w:color w:val="auto"/>
        </w:rPr>
        <w:t>Sole power to vote or</w:t>
      </w:r>
      <w:r>
        <w:rPr>
          <w:sz w:val="20"/>
          <w:szCs w:val="20"/>
          <w:color w:val="auto"/>
        </w:rPr>
        <w:tab/>
      </w:r>
      <w:r>
        <w:rPr>
          <w:rFonts w:ascii="Courier New" w:cs="Courier New" w:eastAsia="Courier New" w:hAnsi="Courier New"/>
          <w:sz w:val="16"/>
          <w:szCs w:val="16"/>
          <w:color w:val="auto"/>
        </w:rPr>
        <w:t>Not</w:t>
      </w:r>
    </w:p>
    <w:p>
      <w:pPr>
        <w:spacing w:after="0" w:line="238" w:lineRule="auto"/>
        <w:rPr>
          <w:sz w:val="20"/>
          <w:szCs w:val="20"/>
          <w:color w:val="auto"/>
        </w:rPr>
      </w:pPr>
      <w:r>
        <w:rPr>
          <w:rFonts w:ascii="Courier New" w:cs="Courier New" w:eastAsia="Courier New" w:hAnsi="Courier New"/>
          <w:sz w:val="18"/>
          <w:szCs w:val="18"/>
          <w:color w:val="auto"/>
        </w:rPr>
        <w:t>Applicable</w:t>
      </w:r>
    </w:p>
    <w:p>
      <w:pPr>
        <w:ind w:left="2220"/>
        <w:spacing w:after="0"/>
        <w:rPr>
          <w:sz w:val="20"/>
          <w:szCs w:val="20"/>
          <w:color w:val="auto"/>
        </w:rPr>
      </w:pPr>
      <w:r>
        <w:rPr>
          <w:rFonts w:ascii="Courier New" w:cs="Courier New" w:eastAsia="Courier New" w:hAnsi="Courier New"/>
          <w:sz w:val="18"/>
          <w:szCs w:val="18"/>
          <w:color w:val="auto"/>
        </w:rPr>
        <w:t>to direct the vote</w:t>
      </w:r>
    </w:p>
    <w:p>
      <w:pPr>
        <w:spacing w:after="0" w:line="200" w:lineRule="exact"/>
        <w:rPr>
          <w:sz w:val="20"/>
          <w:szCs w:val="20"/>
          <w:color w:val="auto"/>
        </w:rPr>
      </w:pPr>
    </w:p>
    <w:p>
      <w:pPr>
        <w:ind w:left="2220"/>
        <w:spacing w:after="0"/>
        <w:tabs>
          <w:tab w:leader="none" w:pos="6940" w:val="left"/>
        </w:tabs>
        <w:rPr>
          <w:sz w:val="20"/>
          <w:szCs w:val="20"/>
          <w:color w:val="auto"/>
        </w:rPr>
      </w:pPr>
      <w:r>
        <w:rPr>
          <w:rFonts w:ascii="Courier New" w:cs="Courier New" w:eastAsia="Courier New" w:hAnsi="Courier New"/>
          <w:sz w:val="18"/>
          <w:szCs w:val="18"/>
          <w:color w:val="auto"/>
        </w:rPr>
        <w:t>Shared power to vote or</w:t>
      </w:r>
      <w:r>
        <w:rPr>
          <w:sz w:val="20"/>
          <w:szCs w:val="20"/>
          <w:color w:val="auto"/>
        </w:rPr>
        <w:tab/>
      </w:r>
      <w:r>
        <w:rPr>
          <w:rFonts w:ascii="Courier New" w:cs="Courier New" w:eastAsia="Courier New" w:hAnsi="Courier New"/>
          <w:sz w:val="16"/>
          <w:szCs w:val="16"/>
          <w:color w:val="auto"/>
        </w:rPr>
        <w:t>Not</w:t>
      </w:r>
    </w:p>
    <w:p>
      <w:pPr>
        <w:spacing w:after="0" w:line="238" w:lineRule="auto"/>
        <w:rPr>
          <w:sz w:val="20"/>
          <w:szCs w:val="20"/>
          <w:color w:val="auto"/>
        </w:rPr>
      </w:pPr>
      <w:r>
        <w:rPr>
          <w:rFonts w:ascii="Courier New" w:cs="Courier New" w:eastAsia="Courier New" w:hAnsi="Courier New"/>
          <w:sz w:val="18"/>
          <w:szCs w:val="18"/>
          <w:color w:val="auto"/>
        </w:rPr>
        <w:t>Applicable</w:t>
      </w:r>
    </w:p>
    <w:p>
      <w:pPr>
        <w:ind w:left="2220"/>
        <w:spacing w:after="0" w:line="238" w:lineRule="auto"/>
        <w:rPr>
          <w:sz w:val="20"/>
          <w:szCs w:val="20"/>
          <w:color w:val="auto"/>
        </w:rPr>
      </w:pPr>
      <w:r>
        <w:rPr>
          <w:rFonts w:ascii="Courier New" w:cs="Courier New" w:eastAsia="Courier New" w:hAnsi="Courier New"/>
          <w:sz w:val="18"/>
          <w:szCs w:val="18"/>
          <w:color w:val="auto"/>
        </w:rPr>
        <w:t>to direct the vote</w:t>
      </w:r>
    </w:p>
    <w:p>
      <w:pPr>
        <w:spacing w:after="0" w:line="202" w:lineRule="exact"/>
        <w:rPr>
          <w:sz w:val="20"/>
          <w:szCs w:val="20"/>
          <w:color w:val="auto"/>
        </w:rPr>
      </w:pPr>
    </w:p>
    <w:p>
      <w:pPr>
        <w:ind w:left="2220"/>
        <w:spacing w:after="0"/>
        <w:tabs>
          <w:tab w:leader="none" w:pos="6940" w:val="left"/>
        </w:tabs>
        <w:rPr>
          <w:sz w:val="20"/>
          <w:szCs w:val="20"/>
          <w:color w:val="auto"/>
        </w:rPr>
      </w:pPr>
      <w:r>
        <w:rPr>
          <w:rFonts w:ascii="Courier New" w:cs="Courier New" w:eastAsia="Courier New" w:hAnsi="Courier New"/>
          <w:sz w:val="18"/>
          <w:szCs w:val="18"/>
          <w:color w:val="auto"/>
        </w:rPr>
        <w:t>Sole power to dispose or</w:t>
      </w:r>
      <w:r>
        <w:rPr>
          <w:sz w:val="20"/>
          <w:szCs w:val="20"/>
          <w:color w:val="auto"/>
        </w:rPr>
        <w:tab/>
      </w:r>
      <w:r>
        <w:rPr>
          <w:rFonts w:ascii="Courier New" w:cs="Courier New" w:eastAsia="Courier New" w:hAnsi="Courier New"/>
          <w:sz w:val="16"/>
          <w:szCs w:val="16"/>
          <w:color w:val="auto"/>
        </w:rPr>
        <w:t>Not</w:t>
      </w:r>
    </w:p>
    <w:p>
      <w:pPr>
        <w:spacing w:after="0" w:line="238" w:lineRule="auto"/>
        <w:rPr>
          <w:sz w:val="20"/>
          <w:szCs w:val="20"/>
          <w:color w:val="auto"/>
        </w:rPr>
      </w:pPr>
      <w:r>
        <w:rPr>
          <w:rFonts w:ascii="Courier New" w:cs="Courier New" w:eastAsia="Courier New" w:hAnsi="Courier New"/>
          <w:sz w:val="18"/>
          <w:szCs w:val="18"/>
          <w:color w:val="auto"/>
        </w:rPr>
        <w:t>Applicable</w:t>
      </w:r>
    </w:p>
    <w:p>
      <w:pPr>
        <w:ind w:left="2220"/>
        <w:spacing w:after="0" w:line="238" w:lineRule="auto"/>
        <w:rPr>
          <w:sz w:val="20"/>
          <w:szCs w:val="20"/>
          <w:color w:val="auto"/>
        </w:rPr>
      </w:pPr>
      <w:r>
        <w:rPr>
          <w:rFonts w:ascii="Courier New" w:cs="Courier New" w:eastAsia="Courier New" w:hAnsi="Courier New"/>
          <w:sz w:val="18"/>
          <w:szCs w:val="18"/>
          <w:color w:val="auto"/>
        </w:rPr>
        <w:t>to direct disposition</w:t>
      </w:r>
    </w:p>
    <w:p>
      <w:pPr>
        <w:spacing w:after="0" w:line="202" w:lineRule="exact"/>
        <w:rPr>
          <w:sz w:val="20"/>
          <w:szCs w:val="20"/>
          <w:color w:val="auto"/>
        </w:rPr>
      </w:pPr>
    </w:p>
    <w:p>
      <w:pPr>
        <w:ind w:left="2220"/>
        <w:spacing w:after="0"/>
        <w:tabs>
          <w:tab w:leader="none" w:pos="6940" w:val="left"/>
        </w:tabs>
        <w:rPr>
          <w:sz w:val="20"/>
          <w:szCs w:val="20"/>
          <w:color w:val="auto"/>
        </w:rPr>
      </w:pPr>
      <w:r>
        <w:rPr>
          <w:rFonts w:ascii="Courier New" w:cs="Courier New" w:eastAsia="Courier New" w:hAnsi="Courier New"/>
          <w:sz w:val="18"/>
          <w:szCs w:val="18"/>
          <w:color w:val="auto"/>
        </w:rPr>
        <w:t>Shared power to dispose</w:t>
      </w:r>
      <w:r>
        <w:rPr>
          <w:sz w:val="20"/>
          <w:szCs w:val="20"/>
          <w:color w:val="auto"/>
        </w:rPr>
        <w:tab/>
      </w:r>
      <w:r>
        <w:rPr>
          <w:rFonts w:ascii="Courier New" w:cs="Courier New" w:eastAsia="Courier New" w:hAnsi="Courier New"/>
          <w:sz w:val="16"/>
          <w:szCs w:val="16"/>
          <w:color w:val="auto"/>
        </w:rPr>
        <w:t>Not</w:t>
      </w:r>
    </w:p>
    <w:p>
      <w:pPr>
        <w:spacing w:after="0" w:line="238" w:lineRule="auto"/>
        <w:rPr>
          <w:sz w:val="20"/>
          <w:szCs w:val="20"/>
          <w:color w:val="auto"/>
        </w:rPr>
      </w:pPr>
      <w:r>
        <w:rPr>
          <w:rFonts w:ascii="Courier New" w:cs="Courier New" w:eastAsia="Courier New" w:hAnsi="Courier New"/>
          <w:sz w:val="18"/>
          <w:szCs w:val="18"/>
          <w:color w:val="auto"/>
        </w:rPr>
        <w:t>Applicable</w:t>
      </w:r>
    </w:p>
    <w:p>
      <w:pPr>
        <w:ind w:left="2220"/>
        <w:spacing w:after="0" w:line="238" w:lineRule="auto"/>
        <w:rPr>
          <w:sz w:val="20"/>
          <w:szCs w:val="20"/>
          <w:color w:val="auto"/>
        </w:rPr>
      </w:pPr>
      <w:r>
        <w:rPr>
          <w:rFonts w:ascii="Courier New" w:cs="Courier New" w:eastAsia="Courier New" w:hAnsi="Courier New"/>
          <w:sz w:val="18"/>
          <w:szCs w:val="18"/>
          <w:color w:val="auto"/>
        </w:rPr>
        <w:t>or to direct disposition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spacing w:after="0" w:line="207" w:lineRule="exact"/>
        <w:rPr>
          <w:sz w:val="20"/>
          <w:szCs w:val="20"/>
          <w:color w:val="auto"/>
        </w:rPr>
      </w:pPr>
    </w:p>
    <w:p>
      <w:pPr>
        <w:ind w:right="2119" w:firstLine="1685"/>
        <w:spacing w:after="0" w:line="235" w:lineRule="auto"/>
        <w:rPr>
          <w:sz w:val="20"/>
          <w:szCs w:val="20"/>
          <w:color w:val="auto"/>
        </w:rPr>
      </w:pPr>
      <w:r>
        <w:rPr>
          <w:rFonts w:ascii="Courier New" w:cs="Courier New" w:eastAsia="Courier New" w:hAnsi="Courier New"/>
          <w:sz w:val="18"/>
          <w:szCs w:val="18"/>
          <w:color w:val="auto"/>
        </w:rPr>
        <w:t>Prudential has ceased to be the owner of more than 5% of the outstanding Common Stock of this issuer.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w:t>
      </w:r>
    </w:p>
    <w:p>
      <w:pPr>
        <w:ind w:left="960"/>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w:t>
      </w:r>
    </w:p>
    <w:p>
      <w:pPr>
        <w:ind w:left="860"/>
        <w:spacing w:after="0" w:line="238" w:lineRule="auto"/>
        <w:rPr>
          <w:sz w:val="20"/>
          <w:szCs w:val="20"/>
          <w:color w:val="auto"/>
        </w:rPr>
      </w:pPr>
      <w:r>
        <w:rPr>
          <w:rFonts w:ascii="Courier New" w:cs="Courier New" w:eastAsia="Courier New" w:hAnsi="Courier New"/>
          <w:sz w:val="18"/>
          <w:szCs w:val="18"/>
          <w:color w:val="auto"/>
        </w:rPr>
        <w:t>SUBSIDIARY WHICH ACQUIRED THE SECURITY BEING</w:t>
      </w:r>
    </w:p>
    <w:p>
      <w:pPr>
        <w:ind w:left="860"/>
        <w:spacing w:after="0" w:line="238" w:lineRule="auto"/>
        <w:rPr>
          <w:sz w:val="20"/>
          <w:szCs w:val="20"/>
          <w:color w:val="auto"/>
        </w:rPr>
      </w:pPr>
      <w:r>
        <w:rPr>
          <w:rFonts w:ascii="Courier New" w:cs="Courier New" w:eastAsia="Courier New" w:hAnsi="Courier New"/>
          <w:sz w:val="18"/>
          <w:szCs w:val="18"/>
          <w:color w:val="auto"/>
        </w:rPr>
        <w:t>REPORTED ON BY THE ULTIMATE PARENT COMPANY:</w:t>
      </w:r>
    </w:p>
    <w:p>
      <w:pPr>
        <w:spacing w:after="0" w:line="20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w:t>
      </w:r>
    </w:p>
    <w:p>
      <w:pPr>
        <w:ind w:left="960"/>
        <w:spacing w:after="0" w:line="238" w:lineRule="auto"/>
        <w:rPr>
          <w:sz w:val="20"/>
          <w:szCs w:val="20"/>
          <w:color w:val="auto"/>
        </w:rPr>
      </w:pPr>
      <w:r>
        <w:rPr>
          <w:rFonts w:ascii="Courier New" w:cs="Courier New" w:eastAsia="Courier New" w:hAnsi="Courier New"/>
          <w:sz w:val="18"/>
          <w:szCs w:val="18"/>
          <w:color w:val="auto"/>
        </w:rPr>
        <w:t>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860" w:right="2439"/>
        <w:spacing w:after="0" w:line="237" w:lineRule="auto"/>
        <w:rPr>
          <w:sz w:val="20"/>
          <w:szCs w:val="20"/>
          <w:color w:val="auto"/>
        </w:rPr>
      </w:pPr>
      <w:r>
        <w:rPr>
          <w:rFonts w:ascii="Courier New" w:cs="Courier New" w:eastAsia="Courier New" w:hAnsi="Courier New"/>
          <w:sz w:val="18"/>
          <w:szCs w:val="18"/>
          <w:color w:val="auto"/>
        </w:rPr>
        <w:t>By signing below, the Prudential Insurance Company of America certifies that, to the best of its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filing of this statement should not be construed as an admission</w:t>
      </w:r>
    </w:p>
    <w:p>
      <w:pPr>
        <w:spacing w:after="0" w:line="238" w:lineRule="auto"/>
        <w:rPr>
          <w:sz w:val="20"/>
          <w:szCs w:val="20"/>
          <w:color w:val="auto"/>
        </w:rPr>
      </w:pPr>
      <w:r>
        <w:rPr>
          <w:rFonts w:ascii="Courier New" w:cs="Courier New" w:eastAsia="Courier New" w:hAnsi="Courier New"/>
          <w:sz w:val="18"/>
          <w:szCs w:val="18"/>
          <w:color w:val="auto"/>
        </w:rPr>
        <w:t>that</w:t>
      </w:r>
    </w:p>
    <w:p>
      <w:pPr>
        <w:spacing w:after="0" w:line="5" w:lineRule="exact"/>
        <w:rPr>
          <w:sz w:val="20"/>
          <w:szCs w:val="20"/>
          <w:color w:val="auto"/>
        </w:rPr>
      </w:pPr>
    </w:p>
    <w:p>
      <w:pPr>
        <w:ind w:right="3179"/>
        <w:spacing w:after="0" w:line="290" w:lineRule="auto"/>
        <w:rPr>
          <w:sz w:val="20"/>
          <w:szCs w:val="20"/>
          <w:color w:val="auto"/>
        </w:rPr>
      </w:pPr>
      <w:r>
        <w:rPr>
          <w:rFonts w:ascii="Courier New" w:cs="Courier New" w:eastAsia="Courier New" w:hAnsi="Courier New"/>
          <w:sz w:val="16"/>
          <w:szCs w:val="16"/>
          <w:color w:val="auto"/>
        </w:rPr>
        <w:t>Prudential is, for purposes of Sections 13 or 16 of the Securities Exchange Act of 1934, the beneficial owner of such shares.</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139"/>
          </w:cols>
          <w:pgMar w:left="320" w:top="136" w:right="1440" w:bottom="0" w:gutter="0" w:footer="0" w:header="0"/>
          <w:type w:val="continuous"/>
        </w:sectPr>
      </w:pPr>
    </w:p>
    <w:bookmarkStart w:id="2" w:name="page3"/>
    <w:bookmarkEnd w:id="2"/>
    <w:p>
      <w:pPr>
        <w:ind w:left="860" w:right="2339"/>
        <w:spacing w:after="0" w:line="237" w:lineRule="auto"/>
        <w:rPr>
          <w:sz w:val="20"/>
          <w:szCs w:val="20"/>
          <w:color w:val="auto"/>
        </w:rPr>
      </w:pPr>
      <w:r>
        <w:rPr>
          <w:rFonts w:ascii="Courier New" w:cs="Courier New" w:eastAsia="Courier New" w:hAnsi="Courier New"/>
          <w:sz w:val="18"/>
          <w:szCs w:val="18"/>
          <w:color w:val="auto"/>
        </w:rPr>
        <w:t>After reasonable inquiry and to the best of its knowledge and belief, The Prudential Insurance Company of America certifies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PRUDENTIAL INSURANCE COMPANY OF AMERICA</w:t>
      </w:r>
    </w:p>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Ellen McGlynn Koke</w:t>
      </w:r>
    </w:p>
    <w:p>
      <w:pPr>
        <w:ind w:left="17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01/31/2000</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As of:</w:t>
      </w:r>
      <w:r>
        <w:rPr>
          <w:sz w:val="20"/>
          <w:szCs w:val="20"/>
          <w:color w:val="auto"/>
        </w:rPr>
        <w:tab/>
      </w:r>
      <w:r>
        <w:rPr>
          <w:rFonts w:ascii="Courier New" w:cs="Courier New" w:eastAsia="Courier New" w:hAnsi="Courier New"/>
          <w:sz w:val="16"/>
          <w:szCs w:val="16"/>
          <w:color w:val="auto"/>
        </w:rPr>
        <w:t>12/31/1999</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A</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1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2020-10-06T14:27:14Z</dcterms:created>
  <dcterms:modified xsi:type="dcterms:W3CDTF">2020-10-06T14:27:14Z</dcterms:modified>
</cp:coreProperties>
</file>