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420" w:right="1879"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SEPTEMBER 30, 1996</w:t>
      </w:r>
    </w:p>
    <w:p>
      <w:pPr>
        <w:spacing w:after="0" w:line="207" w:lineRule="exact"/>
        <w:rPr>
          <w:sz w:val="24"/>
          <w:szCs w:val="24"/>
          <w:color w:val="auto"/>
        </w:rPr>
      </w:pPr>
    </w:p>
    <w:p>
      <w:pPr>
        <w:ind w:left="420" w:right="273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8"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FOR THE TRANSITION PERIOD FROM _________________ to ________________________</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COMMISSION FILE NUMBER 1-9533</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WORLD FUEL SERVICES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5200" w:type="dxa"/>
            <w:vAlign w:val="bottom"/>
          </w:tcPr>
          <w:p>
            <w:pPr>
              <w:jc w:val="center"/>
              <w:ind w:right="612"/>
              <w:spacing w:after="0"/>
              <w:rPr>
                <w:sz w:val="20"/>
                <w:szCs w:val="20"/>
                <w:color w:val="auto"/>
              </w:rPr>
            </w:pPr>
            <w:r>
              <w:rPr>
                <w:rFonts w:ascii="Courier New" w:cs="Courier New" w:eastAsia="Courier New" w:hAnsi="Courier New"/>
                <w:sz w:val="18"/>
                <w:szCs w:val="18"/>
                <w:color w:val="auto"/>
                <w:w w:val="97"/>
              </w:rPr>
              <w:t>Florida</w:t>
            </w:r>
          </w:p>
        </w:tc>
        <w:tc>
          <w:tcPr>
            <w:tcW w:w="270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6"/>
              </w:rPr>
              <w:t>59-2459427</w:t>
            </w:r>
          </w:p>
        </w:tc>
      </w:tr>
      <w:tr>
        <w:trPr>
          <w:trHeight w:val="203"/>
        </w:trPr>
        <w:tc>
          <w:tcPr>
            <w:tcW w:w="52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270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520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270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405"/>
        </w:trPr>
        <w:tc>
          <w:tcPr>
            <w:tcW w:w="520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7"/>
              </w:rPr>
              <w:t>700 South Royal Poinciana Blvd., Suite 800</w:t>
            </w:r>
          </w:p>
        </w:tc>
        <w:tc>
          <w:tcPr>
            <w:tcW w:w="2700" w:type="dxa"/>
            <w:vAlign w:val="bottom"/>
          </w:tcPr>
          <w:p>
            <w:pPr>
              <w:spacing w:after="0"/>
              <w:rPr>
                <w:sz w:val="24"/>
                <w:szCs w:val="24"/>
                <w:color w:val="auto"/>
              </w:rPr>
            </w:pPr>
          </w:p>
        </w:tc>
      </w:tr>
      <w:tr>
        <w:trPr>
          <w:trHeight w:val="203"/>
        </w:trPr>
        <w:tc>
          <w:tcPr>
            <w:tcW w:w="520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Miami Springs, Florida</w:t>
            </w:r>
          </w:p>
        </w:tc>
        <w:tc>
          <w:tcPr>
            <w:tcW w:w="27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33166</w:t>
            </w:r>
          </w:p>
        </w:tc>
      </w:tr>
      <w:tr>
        <w:trPr>
          <w:trHeight w:val="203"/>
        </w:trPr>
        <w:tc>
          <w:tcPr>
            <w:tcW w:w="52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70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6"/>
              </w:rPr>
              <w:t>(Zip Code)</w:t>
            </w:r>
          </w:p>
        </w:tc>
      </w:tr>
    </w:tbl>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(305) 884-2001</w:t>
      </w:r>
    </w:p>
    <w:p>
      <w:pPr>
        <w:spacing w:after="0" w:line="207"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As of September 30, 1996, the registrant had a total of 8,042,518 shares of common stock, par value $0.01 per share, issued and outstanding.</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18</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right="4519" w:firstLine="2634"/>
        <w:spacing w:after="0" w:line="470" w:lineRule="auto"/>
        <w:rPr>
          <w:sz w:val="20"/>
          <w:szCs w:val="20"/>
          <w:color w:val="auto"/>
        </w:rPr>
      </w:pPr>
      <w:r>
        <w:rPr>
          <w:rFonts w:ascii="Courier New" w:cs="Courier New" w:eastAsia="Courier New" w:hAnsi="Courier New"/>
          <w:sz w:val="18"/>
          <w:szCs w:val="18"/>
          <w:color w:val="auto"/>
        </w:rPr>
        <w:t>PART I. FINANCIAL INFORMATION ITEM 1. FINANCIAL STATEMENTS</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following unaudited, condensed consolidated financial statements of</w:t>
      </w:r>
    </w:p>
    <w:p>
      <w:pPr>
        <w:spacing w:after="0" w:line="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World Fuel Services Corporation (the "Company") have been prepared in accordance with the instructions to Form 10-Q and, therefore, omit or condense certain footnotes and other information normally included in financial statements prepared in accordance with generally accepted accounting principles. In the opinion of management, all adjustments necessary for a fair presentation of the financial information for the interim periods reported have been made. Results of operations for the six months ended September 30, 1996, will not be necessarily indicative of the results for the entire fiscal year ending March 31, 1997.</w:t>
      </w:r>
    </w:p>
    <w:p>
      <w:pPr>
        <w:spacing w:after="0" w:line="20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2 of 18</w:t>
      </w:r>
    </w:p>
    <w:p>
      <w:pPr>
        <w:sectPr>
          <w:pgSz w:w="11900" w:h="16838" w:orient="portrait"/>
          <w:cols w:equalWidth="0" w:num="1">
            <w:col w:w="10219"/>
          </w:cols>
          <w:pgMar w:left="240" w:top="24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70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WORLD FUEL SERVICES CORPORATION AND SUBSIDIARIES</w:t>
            </w:r>
          </w:p>
        </w:tc>
        <w:tc>
          <w:tcPr>
            <w:tcW w:w="1380" w:type="dxa"/>
            <w:vAlign w:val="bottom"/>
          </w:tcPr>
          <w:p>
            <w:pPr>
              <w:spacing w:after="0"/>
              <w:rPr>
                <w:sz w:val="17"/>
                <w:szCs w:val="17"/>
                <w:color w:val="auto"/>
              </w:rPr>
            </w:pPr>
          </w:p>
        </w:tc>
      </w:tr>
      <w:tr>
        <w:trPr>
          <w:trHeight w:val="203"/>
        </w:trPr>
        <w:tc>
          <w:tcPr>
            <w:tcW w:w="560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w w:val="97"/>
              </w:rPr>
              <w:t>CONSOLIDATED BALANCE SHEETS</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60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(UNAUDITED)</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600" w:type="dxa"/>
            <w:vAlign w:val="bottom"/>
          </w:tcPr>
          <w:p>
            <w:pPr>
              <w:ind w:left="3900"/>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SEPTEMBER 30,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5600" w:type="dxa"/>
            <w:vAlign w:val="bottom"/>
          </w:tcPr>
          <w:p>
            <w:pPr>
              <w:spacing w:after="0"/>
              <w:rPr>
                <w:sz w:val="17"/>
                <w:szCs w:val="17"/>
                <w:color w:val="auto"/>
              </w:rPr>
            </w:pP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60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$15,577,000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$12,856,000</w:t>
            </w: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receivable, net of allowance</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for bad debts of $4,400,000 and</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$4,363,000 at September 30 and</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March 31, 1996, respectively</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61,685,000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62,745,000</w:t>
            </w: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5,051,000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4,592,000</w:t>
            </w: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7,663,000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3,059,000</w:t>
            </w:r>
          </w:p>
        </w:tc>
      </w:tr>
      <w:tr>
        <w:trPr>
          <w:trHeight w:val="203"/>
        </w:trPr>
        <w:tc>
          <w:tcPr>
            <w:tcW w:w="560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ind w:left="1900"/>
              <w:spacing w:after="0"/>
              <w:rPr>
                <w:sz w:val="20"/>
                <w:szCs w:val="20"/>
                <w:color w:val="auto"/>
              </w:rPr>
            </w:pPr>
            <w:r>
              <w:rPr>
                <w:rFonts w:ascii="Courier New" w:cs="Courier New" w:eastAsia="Courier New" w:hAnsi="Courier New"/>
                <w:sz w:val="18"/>
                <w:szCs w:val="18"/>
                <w:color w:val="auto"/>
              </w:rPr>
              <w:t>Total current assets</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89,976,000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83,252,000</w:t>
            </w:r>
          </w:p>
        </w:tc>
      </w:tr>
      <w:tr>
        <w:trPr>
          <w:trHeight w:val="203"/>
        </w:trPr>
        <w:tc>
          <w:tcPr>
            <w:tcW w:w="560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at cost:</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Land</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601,000</w:t>
            </w: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Buildings and improvements</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2,972,000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2,890,000</w:t>
            </w: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 equipment and furniture</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3,045,000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2,645,000</w:t>
            </w: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Plant, machinery and equipment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14,484,000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14,171,000</w:t>
            </w: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682,000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67,000</w:t>
            </w:r>
          </w:p>
        </w:tc>
      </w:tr>
      <w:tr>
        <w:trPr>
          <w:trHeight w:val="203"/>
        </w:trPr>
        <w:tc>
          <w:tcPr>
            <w:tcW w:w="560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4"/>
                <w:szCs w:val="24"/>
                <w:color w:val="auto"/>
              </w:rPr>
            </w:pP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21,784,000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20,374,000</w:t>
            </w: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6,408,000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5,856,000</w:t>
            </w:r>
          </w:p>
        </w:tc>
      </w:tr>
      <w:tr>
        <w:trPr>
          <w:trHeight w:val="203"/>
        </w:trPr>
        <w:tc>
          <w:tcPr>
            <w:tcW w:w="560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4"/>
                <w:szCs w:val="24"/>
                <w:color w:val="auto"/>
              </w:rPr>
            </w:pP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15,376,000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14,518,000</w:t>
            </w:r>
          </w:p>
        </w:tc>
      </w:tr>
      <w:tr>
        <w:trPr>
          <w:trHeight w:val="203"/>
        </w:trPr>
        <w:tc>
          <w:tcPr>
            <w:tcW w:w="560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Unamortized cost in excess of net</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assets of acquired companies, net of</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accumulated amortization</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11,966,000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12,123,000</w:t>
            </w: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1,207,000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2,081,000</w:t>
            </w:r>
          </w:p>
        </w:tc>
      </w:tr>
      <w:tr>
        <w:trPr>
          <w:trHeight w:val="203"/>
        </w:trPr>
        <w:tc>
          <w:tcPr>
            <w:tcW w:w="560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4"/>
                <w:szCs w:val="24"/>
                <w:color w:val="auto"/>
              </w:rPr>
            </w:pP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$118,525,000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$111,974,000</w:t>
            </w:r>
          </w:p>
        </w:tc>
      </w:tr>
      <w:tr>
        <w:trPr>
          <w:trHeight w:val="203"/>
        </w:trPr>
        <w:tc>
          <w:tcPr>
            <w:tcW w:w="560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(Continued)</w:t>
      </w:r>
    </w:p>
    <w:p>
      <w:pPr>
        <w:ind w:left="3580"/>
        <w:spacing w:after="0" w:line="238" w:lineRule="auto"/>
        <w:rPr>
          <w:sz w:val="20"/>
          <w:szCs w:val="20"/>
          <w:color w:val="auto"/>
        </w:rPr>
      </w:pPr>
      <w:r>
        <w:rPr>
          <w:rFonts w:ascii="Courier New" w:cs="Courier New" w:eastAsia="Courier New" w:hAnsi="Courier New"/>
          <w:sz w:val="18"/>
          <w:szCs w:val="18"/>
          <w:color w:val="auto"/>
        </w:rPr>
        <w:t>Page 3 of 18</w:t>
      </w:r>
    </w:p>
    <w:p>
      <w:pPr>
        <w:sectPr>
          <w:pgSz w:w="11900" w:h="16838" w:orient="portrait"/>
          <w:cols w:equalWidth="0" w:num="1">
            <w:col w:w="10219"/>
          </w:cols>
          <w:pgMar w:left="240" w:top="1122"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jc w:val="center"/>
        <w:ind w:right="1879"/>
        <w:spacing w:after="0" w:line="237" w:lineRule="auto"/>
        <w:rPr>
          <w:sz w:val="20"/>
          <w:szCs w:val="20"/>
          <w:color w:val="auto"/>
        </w:rPr>
      </w:pPr>
      <w:r>
        <w:rPr>
          <w:rFonts w:ascii="Courier New" w:cs="Courier New" w:eastAsia="Courier New" w:hAnsi="Courier New"/>
          <w:sz w:val="18"/>
          <w:szCs w:val="18"/>
          <w:color w:val="auto"/>
        </w:rPr>
        <w:t>(Continued)</w:t>
      </w:r>
    </w:p>
    <w:tbl>
      <w:tblPr>
        <w:tblLayout w:type="fixed"/>
        <w:tblInd w:w="0" w:type="dxa"/>
        <w:tblCellMar>
          <w:top w:w="0" w:type="dxa"/>
          <w:left w:w="0" w:type="dxa"/>
          <w:bottom w:w="0" w:type="dxa"/>
          <w:right w:w="0" w:type="dxa"/>
        </w:tblCellMar>
      </w:tblPr>
      <w:tr>
        <w:trPr>
          <w:trHeight w:val="203"/>
        </w:trPr>
        <w:tc>
          <w:tcPr>
            <w:tcW w:w="706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380" w:type="dxa"/>
            <w:vAlign w:val="bottom"/>
          </w:tcPr>
          <w:p>
            <w:pPr>
              <w:spacing w:after="0"/>
              <w:rPr>
                <w:sz w:val="17"/>
                <w:szCs w:val="17"/>
                <w:color w:val="auto"/>
              </w:rPr>
            </w:pPr>
          </w:p>
        </w:tc>
      </w:tr>
      <w:tr>
        <w:trPr>
          <w:trHeight w:val="405"/>
        </w:trPr>
        <w:tc>
          <w:tcPr>
            <w:tcW w:w="5160" w:type="dxa"/>
            <w:vAlign w:val="bottom"/>
          </w:tcPr>
          <w:p>
            <w:pPr>
              <w:spacing w:after="0"/>
              <w:rPr>
                <w:sz w:val="24"/>
                <w:szCs w:val="24"/>
                <w:color w:val="auto"/>
              </w:rPr>
            </w:pPr>
          </w:p>
        </w:tc>
        <w:tc>
          <w:tcPr>
            <w:tcW w:w="1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SEPTEMBER 30,</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MARCH 31,</w:t>
            </w:r>
          </w:p>
        </w:tc>
      </w:tr>
      <w:tr>
        <w:trPr>
          <w:trHeight w:val="203"/>
        </w:trPr>
        <w:tc>
          <w:tcPr>
            <w:tcW w:w="5160" w:type="dxa"/>
            <w:vAlign w:val="bottom"/>
          </w:tcPr>
          <w:p>
            <w:pPr>
              <w:spacing w:after="0"/>
              <w:rPr>
                <w:sz w:val="17"/>
                <w:szCs w:val="17"/>
                <w:color w:val="auto"/>
              </w:rPr>
            </w:pP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160" w:type="dxa"/>
            <w:vAlign w:val="bottom"/>
          </w:tcPr>
          <w:p>
            <w:pPr>
              <w:spacing w:after="0"/>
              <w:rPr>
                <w:sz w:val="17"/>
                <w:szCs w:val="17"/>
                <w:color w:val="auto"/>
              </w:rPr>
            </w:pP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1,934,000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1,944,000</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39,111,000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37,808,000</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Customer deposits</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1,349,000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1,467,000</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1,633,000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2,055,000</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862,000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432,000</w:t>
            </w:r>
          </w:p>
        </w:tc>
      </w:tr>
      <w:tr>
        <w:trPr>
          <w:trHeight w:val="203"/>
        </w:trPr>
        <w:tc>
          <w:tcPr>
            <w:tcW w:w="5160" w:type="dxa"/>
            <w:vAlign w:val="bottom"/>
          </w:tcPr>
          <w:p>
            <w:pPr>
              <w:spacing w:after="0"/>
              <w:rPr>
                <w:sz w:val="17"/>
                <w:szCs w:val="17"/>
                <w:color w:val="auto"/>
              </w:rPr>
            </w:pP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ind w:left="1380"/>
              <w:spacing w:after="0"/>
              <w:rPr>
                <w:sz w:val="20"/>
                <w:szCs w:val="20"/>
                <w:color w:val="auto"/>
              </w:rPr>
            </w:pPr>
            <w:r>
              <w:rPr>
                <w:rFonts w:ascii="Courier New" w:cs="Courier New" w:eastAsia="Courier New" w:hAnsi="Courier New"/>
                <w:sz w:val="18"/>
                <w:szCs w:val="18"/>
                <w:color w:val="auto"/>
              </w:rPr>
              <w:t>Total current liabilities</w:t>
            </w:r>
          </w:p>
        </w:tc>
        <w:tc>
          <w:tcPr>
            <w:tcW w:w="1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44,889,000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43,706,000</w:t>
            </w:r>
          </w:p>
        </w:tc>
      </w:tr>
      <w:tr>
        <w:trPr>
          <w:trHeight w:val="203"/>
        </w:trPr>
        <w:tc>
          <w:tcPr>
            <w:tcW w:w="5160" w:type="dxa"/>
            <w:vAlign w:val="bottom"/>
          </w:tcPr>
          <w:p>
            <w:pPr>
              <w:spacing w:after="0"/>
              <w:rPr>
                <w:sz w:val="17"/>
                <w:szCs w:val="17"/>
                <w:color w:val="auto"/>
              </w:rPr>
            </w:pP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LIABILITIES:</w:t>
            </w:r>
          </w:p>
        </w:tc>
        <w:tc>
          <w:tcPr>
            <w:tcW w:w="19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Long-term debt, net of current maturities</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2,103,000</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1,529,000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1,572,000</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1,078,000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843,000</w:t>
            </w:r>
          </w:p>
        </w:tc>
      </w:tr>
      <w:tr>
        <w:trPr>
          <w:trHeight w:val="203"/>
        </w:trPr>
        <w:tc>
          <w:tcPr>
            <w:tcW w:w="5160" w:type="dxa"/>
            <w:vAlign w:val="bottom"/>
          </w:tcPr>
          <w:p>
            <w:pPr>
              <w:spacing w:after="0"/>
              <w:rPr>
                <w:sz w:val="17"/>
                <w:szCs w:val="17"/>
                <w:color w:val="auto"/>
              </w:rPr>
            </w:pP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4"/>
                <w:szCs w:val="24"/>
                <w:color w:val="auto"/>
              </w:rPr>
            </w:pPr>
          </w:p>
        </w:tc>
        <w:tc>
          <w:tcPr>
            <w:tcW w:w="1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4,697,000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4,518,000</w:t>
            </w:r>
          </w:p>
        </w:tc>
      </w:tr>
      <w:tr>
        <w:trPr>
          <w:trHeight w:val="203"/>
        </w:trPr>
        <w:tc>
          <w:tcPr>
            <w:tcW w:w="5160" w:type="dxa"/>
            <w:vAlign w:val="bottom"/>
          </w:tcPr>
          <w:p>
            <w:pPr>
              <w:spacing w:after="0"/>
              <w:rPr>
                <w:sz w:val="17"/>
                <w:szCs w:val="17"/>
                <w:color w:val="auto"/>
              </w:rPr>
            </w:pP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19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100,000 shares authorized, none issued</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 $0.01 par value;</w:t>
            </w:r>
          </w:p>
        </w:tc>
        <w:tc>
          <w:tcPr>
            <w:tcW w:w="19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10,000,000 shares authorized,</w:t>
            </w:r>
          </w:p>
        </w:tc>
        <w:tc>
          <w:tcPr>
            <w:tcW w:w="19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8,043,000 and 8,039,000 shares issued</w:t>
            </w:r>
          </w:p>
        </w:tc>
        <w:tc>
          <w:tcPr>
            <w:tcW w:w="19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outstanding at September 30 and</w:t>
            </w:r>
          </w:p>
        </w:tc>
        <w:tc>
          <w:tcPr>
            <w:tcW w:w="19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March 31, 1996, respectively</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80,000</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22,652,000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22,615,000</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46,263,000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41,112,000</w:t>
            </w: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57,000</w:t>
            </w:r>
          </w:p>
        </w:tc>
      </w:tr>
      <w:tr>
        <w:trPr>
          <w:trHeight w:val="203"/>
        </w:trPr>
        <w:tc>
          <w:tcPr>
            <w:tcW w:w="5160" w:type="dxa"/>
            <w:vAlign w:val="bottom"/>
          </w:tcPr>
          <w:p>
            <w:pPr>
              <w:spacing w:after="0"/>
              <w:rPr>
                <w:sz w:val="17"/>
                <w:szCs w:val="17"/>
                <w:color w:val="auto"/>
              </w:rPr>
            </w:pP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4"/>
                <w:szCs w:val="24"/>
                <w:color w:val="auto"/>
              </w:rPr>
            </w:pPr>
          </w:p>
        </w:tc>
        <w:tc>
          <w:tcPr>
            <w:tcW w:w="1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68,939,000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63,750,000</w:t>
            </w:r>
          </w:p>
        </w:tc>
      </w:tr>
      <w:tr>
        <w:trPr>
          <w:trHeight w:val="203"/>
        </w:trPr>
        <w:tc>
          <w:tcPr>
            <w:tcW w:w="5160" w:type="dxa"/>
            <w:vAlign w:val="bottom"/>
          </w:tcPr>
          <w:p>
            <w:pPr>
              <w:spacing w:after="0"/>
              <w:rPr>
                <w:sz w:val="17"/>
                <w:szCs w:val="17"/>
                <w:color w:val="auto"/>
              </w:rPr>
            </w:pP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4"/>
                <w:szCs w:val="24"/>
                <w:color w:val="auto"/>
              </w:rPr>
            </w:pPr>
          </w:p>
        </w:tc>
        <w:tc>
          <w:tcPr>
            <w:tcW w:w="1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$118,525,000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$111,974,000</w:t>
            </w:r>
          </w:p>
        </w:tc>
      </w:tr>
      <w:tr>
        <w:trPr>
          <w:trHeight w:val="203"/>
        </w:trPr>
        <w:tc>
          <w:tcPr>
            <w:tcW w:w="5160" w:type="dxa"/>
            <w:vAlign w:val="bottom"/>
          </w:tcPr>
          <w:p>
            <w:pPr>
              <w:spacing w:after="0"/>
              <w:rPr>
                <w:sz w:val="17"/>
                <w:szCs w:val="17"/>
                <w:color w:val="auto"/>
              </w:rPr>
            </w:pP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 of 18</w:t>
      </w:r>
    </w:p>
    <w:p>
      <w:pPr>
        <w:sectPr>
          <w:pgSz w:w="11900" w:h="16838" w:orient="portrait"/>
          <w:cols w:equalWidth="0" w:num="1">
            <w:col w:w="10219"/>
          </w:cols>
          <w:pgMar w:left="240" w:top="1122" w:right="1440" w:bottom="144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8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SIX MONTHS ENDED SEPTEMBER 30,</w:t>
            </w:r>
          </w:p>
        </w:tc>
      </w:tr>
      <w:tr>
        <w:trPr>
          <w:trHeight w:val="203"/>
        </w:trPr>
        <w:tc>
          <w:tcPr>
            <w:tcW w:w="4280" w:type="dxa"/>
            <w:vAlign w:val="bottom"/>
          </w:tcPr>
          <w:p>
            <w:pPr>
              <w:spacing w:after="0"/>
              <w:rPr>
                <w:sz w:val="17"/>
                <w:szCs w:val="17"/>
                <w:color w:val="auto"/>
              </w:rPr>
            </w:pPr>
          </w:p>
        </w:tc>
        <w:tc>
          <w:tcPr>
            <w:tcW w:w="42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1996</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232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$351,043,000</w:t>
            </w:r>
          </w:p>
        </w:tc>
        <w:tc>
          <w:tcPr>
            <w:tcW w:w="19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$284,618,000</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58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5"/>
              </w:rPr>
              <w:t>327,785,000</w:t>
            </w:r>
          </w:p>
        </w:tc>
        <w:tc>
          <w:tcPr>
            <w:tcW w:w="6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265,533,000</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960"/>
              <w:spacing w:after="0"/>
              <w:rPr>
                <w:sz w:val="20"/>
                <w:szCs w:val="20"/>
                <w:color w:val="auto"/>
              </w:rPr>
            </w:pPr>
            <w:r>
              <w:rPr>
                <w:rFonts w:ascii="Courier New" w:cs="Courier New" w:eastAsia="Courier New" w:hAnsi="Courier New"/>
                <w:sz w:val="18"/>
                <w:szCs w:val="18"/>
                <w:color w:val="auto"/>
              </w:rPr>
              <w:t>Gross profit</w:t>
            </w:r>
          </w:p>
        </w:tc>
        <w:tc>
          <w:tcPr>
            <w:tcW w:w="58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23,258,000</w:t>
            </w:r>
          </w:p>
        </w:tc>
        <w:tc>
          <w:tcPr>
            <w:tcW w:w="6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19,085,000</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Salaries and wages</w:t>
            </w:r>
          </w:p>
        </w:tc>
        <w:tc>
          <w:tcPr>
            <w:tcW w:w="5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6,872,000</w:t>
            </w:r>
          </w:p>
        </w:tc>
        <w:tc>
          <w:tcPr>
            <w:tcW w:w="6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6,195,000</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5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2,534,000</w:t>
            </w:r>
          </w:p>
        </w:tc>
        <w:tc>
          <w:tcPr>
            <w:tcW w:w="6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836,000</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5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5,585,000</w:t>
            </w:r>
          </w:p>
        </w:tc>
        <w:tc>
          <w:tcPr>
            <w:tcW w:w="6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4,648,000</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14,991,000</w:t>
            </w:r>
          </w:p>
        </w:tc>
        <w:tc>
          <w:tcPr>
            <w:tcW w:w="6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11,679,000</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1060"/>
              <w:spacing w:after="0"/>
              <w:rPr>
                <w:sz w:val="20"/>
                <w:szCs w:val="20"/>
                <w:color w:val="auto"/>
              </w:rPr>
            </w:pPr>
            <w:r>
              <w:rPr>
                <w:rFonts w:ascii="Courier New" w:cs="Courier New" w:eastAsia="Courier New" w:hAnsi="Courier New"/>
                <w:sz w:val="18"/>
                <w:szCs w:val="18"/>
                <w:color w:val="auto"/>
              </w:rPr>
              <w:t>Income from operations</w:t>
            </w:r>
          </w:p>
        </w:tc>
        <w:tc>
          <w:tcPr>
            <w:tcW w:w="58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8,267,000</w:t>
            </w:r>
          </w:p>
        </w:tc>
        <w:tc>
          <w:tcPr>
            <w:tcW w:w="6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7,406,000</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Other income (expense), net:</w:t>
            </w: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Equity in earnings of</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aviation joint venture</w:t>
            </w:r>
          </w:p>
        </w:tc>
        <w:tc>
          <w:tcPr>
            <w:tcW w:w="5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880,000</w:t>
            </w:r>
          </w:p>
        </w:tc>
        <w:tc>
          <w:tcPr>
            <w:tcW w:w="6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856,000</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net</w:t>
            </w:r>
          </w:p>
        </w:tc>
        <w:tc>
          <w:tcPr>
            <w:tcW w:w="5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198,000</w:t>
            </w:r>
          </w:p>
        </w:tc>
        <w:tc>
          <w:tcPr>
            <w:tcW w:w="6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(32,000)</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1,078,000</w:t>
            </w:r>
          </w:p>
        </w:tc>
        <w:tc>
          <w:tcPr>
            <w:tcW w:w="6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824,000</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1060"/>
              <w:spacing w:after="0"/>
              <w:rPr>
                <w:sz w:val="20"/>
                <w:szCs w:val="20"/>
                <w:color w:val="auto"/>
              </w:rPr>
            </w:pPr>
            <w:r>
              <w:rPr>
                <w:rFonts w:ascii="Courier New" w:cs="Courier New" w:eastAsia="Courier New" w:hAnsi="Courier New"/>
                <w:sz w:val="18"/>
                <w:szCs w:val="18"/>
                <w:color w:val="auto"/>
              </w:rPr>
              <w:t>Income before income taxes</w:t>
            </w:r>
          </w:p>
        </w:tc>
        <w:tc>
          <w:tcPr>
            <w:tcW w:w="58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9,345,000</w:t>
            </w:r>
          </w:p>
        </w:tc>
        <w:tc>
          <w:tcPr>
            <w:tcW w:w="6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8,230,000</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58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2,988,000</w:t>
            </w:r>
          </w:p>
        </w:tc>
        <w:tc>
          <w:tcPr>
            <w:tcW w:w="6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3,030,000</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6,357,000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5,200,000</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0.78</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0.65</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Weighted average shares outstanding</w:t>
            </w:r>
          </w:p>
        </w:tc>
        <w:tc>
          <w:tcPr>
            <w:tcW w:w="58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8,178,000</w:t>
            </w:r>
          </w:p>
        </w:tc>
        <w:tc>
          <w:tcPr>
            <w:tcW w:w="6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8,050,000</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18</w:t>
      </w:r>
    </w:p>
    <w:p>
      <w:pPr>
        <w:sectPr>
          <w:pgSz w:w="11900" w:h="16838" w:orient="portrait"/>
          <w:cols w:equalWidth="0" w:num="1">
            <w:col w:w="10219"/>
          </w:cols>
          <w:pgMar w:left="240" w:top="1122" w:right="1440" w:bottom="1440" w:gutter="0" w:footer="0" w:header="0"/>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8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w w:val="96"/>
              </w:rPr>
              <w:t>THREE MONTHS ENDED SEPTEMBER 30,</w:t>
            </w:r>
          </w:p>
        </w:tc>
      </w:tr>
      <w:tr>
        <w:trPr>
          <w:trHeight w:val="203"/>
        </w:trPr>
        <w:tc>
          <w:tcPr>
            <w:tcW w:w="4220" w:type="dxa"/>
            <w:vAlign w:val="bottom"/>
          </w:tcPr>
          <w:p>
            <w:pPr>
              <w:spacing w:after="0"/>
              <w:rPr>
                <w:sz w:val="17"/>
                <w:szCs w:val="17"/>
                <w:color w:val="auto"/>
              </w:rPr>
            </w:pPr>
          </w:p>
        </w:tc>
        <w:tc>
          <w:tcPr>
            <w:tcW w:w="43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1996</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220" w:type="dxa"/>
            <w:vAlign w:val="bottom"/>
          </w:tcPr>
          <w:p>
            <w:pPr>
              <w:spacing w:after="0"/>
              <w:rPr>
                <w:sz w:val="17"/>
                <w:szCs w:val="17"/>
                <w:color w:val="auto"/>
              </w:rPr>
            </w:pPr>
          </w:p>
        </w:tc>
        <w:tc>
          <w:tcPr>
            <w:tcW w:w="2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238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$180,349,000</w:t>
            </w:r>
          </w:p>
        </w:tc>
        <w:tc>
          <w:tcPr>
            <w:tcW w:w="19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$145,658,000</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64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5"/>
              </w:rPr>
              <w:t>168,723,000</w:t>
            </w:r>
          </w:p>
        </w:tc>
        <w:tc>
          <w:tcPr>
            <w:tcW w:w="6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135,747,000</w:t>
            </w:r>
          </w:p>
        </w:tc>
      </w:tr>
      <w:tr>
        <w:trPr>
          <w:trHeight w:val="203"/>
        </w:trPr>
        <w:tc>
          <w:tcPr>
            <w:tcW w:w="4220" w:type="dxa"/>
            <w:vAlign w:val="bottom"/>
          </w:tcPr>
          <w:p>
            <w:pPr>
              <w:spacing w:after="0"/>
              <w:rPr>
                <w:sz w:val="17"/>
                <w:szCs w:val="17"/>
                <w:color w:val="auto"/>
              </w:rPr>
            </w:pPr>
          </w:p>
        </w:tc>
        <w:tc>
          <w:tcPr>
            <w:tcW w:w="2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ind w:left="960"/>
              <w:spacing w:after="0"/>
              <w:rPr>
                <w:sz w:val="20"/>
                <w:szCs w:val="20"/>
                <w:color w:val="auto"/>
              </w:rPr>
            </w:pPr>
            <w:r>
              <w:rPr>
                <w:rFonts w:ascii="Courier New" w:cs="Courier New" w:eastAsia="Courier New" w:hAnsi="Courier New"/>
                <w:sz w:val="18"/>
                <w:szCs w:val="18"/>
                <w:color w:val="auto"/>
              </w:rPr>
              <w:t>Gross profit</w:t>
            </w:r>
          </w:p>
        </w:tc>
        <w:tc>
          <w:tcPr>
            <w:tcW w:w="64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11,626,000</w:t>
            </w:r>
          </w:p>
        </w:tc>
        <w:tc>
          <w:tcPr>
            <w:tcW w:w="6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9,911,000</w:t>
            </w:r>
          </w:p>
        </w:tc>
      </w:tr>
      <w:tr>
        <w:trPr>
          <w:trHeight w:val="203"/>
        </w:trPr>
        <w:tc>
          <w:tcPr>
            <w:tcW w:w="4220" w:type="dxa"/>
            <w:vAlign w:val="bottom"/>
          </w:tcPr>
          <w:p>
            <w:pPr>
              <w:spacing w:after="0"/>
              <w:rPr>
                <w:sz w:val="17"/>
                <w:szCs w:val="17"/>
                <w:color w:val="auto"/>
              </w:rPr>
            </w:pPr>
          </w:p>
        </w:tc>
        <w:tc>
          <w:tcPr>
            <w:tcW w:w="2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Salaries and wages</w:t>
            </w:r>
          </w:p>
        </w:tc>
        <w:tc>
          <w:tcPr>
            <w:tcW w:w="64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3,666,000</w:t>
            </w:r>
          </w:p>
        </w:tc>
        <w:tc>
          <w:tcPr>
            <w:tcW w:w="6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3,189,000</w:t>
            </w: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64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1,216,000</w:t>
            </w:r>
          </w:p>
        </w:tc>
        <w:tc>
          <w:tcPr>
            <w:tcW w:w="6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686,000</w:t>
            </w: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64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2,814,000</w:t>
            </w:r>
          </w:p>
        </w:tc>
        <w:tc>
          <w:tcPr>
            <w:tcW w:w="6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2,292,000</w:t>
            </w:r>
          </w:p>
        </w:tc>
      </w:tr>
      <w:tr>
        <w:trPr>
          <w:trHeight w:val="203"/>
        </w:trPr>
        <w:tc>
          <w:tcPr>
            <w:tcW w:w="4220" w:type="dxa"/>
            <w:vAlign w:val="bottom"/>
          </w:tcPr>
          <w:p>
            <w:pPr>
              <w:spacing w:after="0"/>
              <w:rPr>
                <w:sz w:val="17"/>
                <w:szCs w:val="17"/>
                <w:color w:val="auto"/>
              </w:rPr>
            </w:pPr>
          </w:p>
        </w:tc>
        <w:tc>
          <w:tcPr>
            <w:tcW w:w="2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7,696,000</w:t>
            </w:r>
          </w:p>
        </w:tc>
        <w:tc>
          <w:tcPr>
            <w:tcW w:w="6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6,167,000</w:t>
            </w:r>
          </w:p>
        </w:tc>
      </w:tr>
      <w:tr>
        <w:trPr>
          <w:trHeight w:val="203"/>
        </w:trPr>
        <w:tc>
          <w:tcPr>
            <w:tcW w:w="4220" w:type="dxa"/>
            <w:vAlign w:val="bottom"/>
          </w:tcPr>
          <w:p>
            <w:pPr>
              <w:spacing w:after="0"/>
              <w:rPr>
                <w:sz w:val="17"/>
                <w:szCs w:val="17"/>
                <w:color w:val="auto"/>
              </w:rPr>
            </w:pPr>
          </w:p>
        </w:tc>
        <w:tc>
          <w:tcPr>
            <w:tcW w:w="2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ind w:left="960"/>
              <w:spacing w:after="0"/>
              <w:rPr>
                <w:sz w:val="20"/>
                <w:szCs w:val="20"/>
                <w:color w:val="auto"/>
              </w:rPr>
            </w:pPr>
            <w:r>
              <w:rPr>
                <w:rFonts w:ascii="Courier New" w:cs="Courier New" w:eastAsia="Courier New" w:hAnsi="Courier New"/>
                <w:sz w:val="18"/>
                <w:szCs w:val="18"/>
                <w:color w:val="auto"/>
              </w:rPr>
              <w:t>Income from operations</w:t>
            </w:r>
          </w:p>
        </w:tc>
        <w:tc>
          <w:tcPr>
            <w:tcW w:w="64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3,930,000</w:t>
            </w:r>
          </w:p>
        </w:tc>
        <w:tc>
          <w:tcPr>
            <w:tcW w:w="6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3,744,000</w:t>
            </w:r>
          </w:p>
        </w:tc>
      </w:tr>
      <w:tr>
        <w:trPr>
          <w:trHeight w:val="203"/>
        </w:trPr>
        <w:tc>
          <w:tcPr>
            <w:tcW w:w="4220" w:type="dxa"/>
            <w:vAlign w:val="bottom"/>
          </w:tcPr>
          <w:p>
            <w:pPr>
              <w:spacing w:after="0"/>
              <w:rPr>
                <w:sz w:val="17"/>
                <w:szCs w:val="17"/>
                <w:color w:val="auto"/>
              </w:rPr>
            </w:pPr>
          </w:p>
        </w:tc>
        <w:tc>
          <w:tcPr>
            <w:tcW w:w="2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Other income (expense), net:</w:t>
            </w:r>
          </w:p>
        </w:tc>
        <w:tc>
          <w:tcPr>
            <w:tcW w:w="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Equity in earnings of</w:t>
            </w:r>
          </w:p>
        </w:tc>
        <w:tc>
          <w:tcPr>
            <w:tcW w:w="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aviation joint venture</w:t>
            </w:r>
          </w:p>
        </w:tc>
        <w:tc>
          <w:tcPr>
            <w:tcW w:w="64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471,000</w:t>
            </w:r>
          </w:p>
        </w:tc>
        <w:tc>
          <w:tcPr>
            <w:tcW w:w="6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479,000</w:t>
            </w: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net</w:t>
            </w:r>
          </w:p>
        </w:tc>
        <w:tc>
          <w:tcPr>
            <w:tcW w:w="64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211,000</w:t>
            </w:r>
          </w:p>
        </w:tc>
        <w:tc>
          <w:tcPr>
            <w:tcW w:w="6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(41,000)</w:t>
            </w:r>
          </w:p>
        </w:tc>
      </w:tr>
      <w:tr>
        <w:trPr>
          <w:trHeight w:val="203"/>
        </w:trPr>
        <w:tc>
          <w:tcPr>
            <w:tcW w:w="4220" w:type="dxa"/>
            <w:vAlign w:val="bottom"/>
          </w:tcPr>
          <w:p>
            <w:pPr>
              <w:spacing w:after="0"/>
              <w:rPr>
                <w:sz w:val="17"/>
                <w:szCs w:val="17"/>
                <w:color w:val="auto"/>
              </w:rPr>
            </w:pPr>
          </w:p>
        </w:tc>
        <w:tc>
          <w:tcPr>
            <w:tcW w:w="2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682,000</w:t>
            </w:r>
          </w:p>
        </w:tc>
        <w:tc>
          <w:tcPr>
            <w:tcW w:w="6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438,000</w:t>
            </w:r>
          </w:p>
        </w:tc>
      </w:tr>
      <w:tr>
        <w:trPr>
          <w:trHeight w:val="203"/>
        </w:trPr>
        <w:tc>
          <w:tcPr>
            <w:tcW w:w="4220" w:type="dxa"/>
            <w:vAlign w:val="bottom"/>
          </w:tcPr>
          <w:p>
            <w:pPr>
              <w:spacing w:after="0"/>
              <w:rPr>
                <w:sz w:val="17"/>
                <w:szCs w:val="17"/>
                <w:color w:val="auto"/>
              </w:rPr>
            </w:pPr>
          </w:p>
        </w:tc>
        <w:tc>
          <w:tcPr>
            <w:tcW w:w="2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ind w:left="960"/>
              <w:spacing w:after="0"/>
              <w:rPr>
                <w:sz w:val="20"/>
                <w:szCs w:val="20"/>
                <w:color w:val="auto"/>
              </w:rPr>
            </w:pPr>
            <w:r>
              <w:rPr>
                <w:rFonts w:ascii="Courier New" w:cs="Courier New" w:eastAsia="Courier New" w:hAnsi="Courier New"/>
                <w:sz w:val="18"/>
                <w:szCs w:val="18"/>
                <w:color w:val="auto"/>
              </w:rPr>
              <w:t>Income before income taxes</w:t>
            </w:r>
          </w:p>
        </w:tc>
        <w:tc>
          <w:tcPr>
            <w:tcW w:w="64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4,612,000</w:t>
            </w:r>
          </w:p>
        </w:tc>
        <w:tc>
          <w:tcPr>
            <w:tcW w:w="6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4,182,000</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64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1,359,000</w:t>
            </w:r>
          </w:p>
        </w:tc>
        <w:tc>
          <w:tcPr>
            <w:tcW w:w="6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1,527,000</w:t>
            </w:r>
          </w:p>
        </w:tc>
      </w:tr>
      <w:tr>
        <w:trPr>
          <w:trHeight w:val="203"/>
        </w:trPr>
        <w:tc>
          <w:tcPr>
            <w:tcW w:w="4220" w:type="dxa"/>
            <w:vAlign w:val="bottom"/>
          </w:tcPr>
          <w:p>
            <w:pPr>
              <w:spacing w:after="0"/>
              <w:rPr>
                <w:sz w:val="17"/>
                <w:szCs w:val="17"/>
                <w:color w:val="auto"/>
              </w:rPr>
            </w:pPr>
          </w:p>
        </w:tc>
        <w:tc>
          <w:tcPr>
            <w:tcW w:w="2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3,253,000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2,655,000</w:t>
            </w:r>
          </w:p>
        </w:tc>
      </w:tr>
      <w:tr>
        <w:trPr>
          <w:trHeight w:val="203"/>
        </w:trPr>
        <w:tc>
          <w:tcPr>
            <w:tcW w:w="4220" w:type="dxa"/>
            <w:vAlign w:val="bottom"/>
          </w:tcPr>
          <w:p>
            <w:pPr>
              <w:spacing w:after="0"/>
              <w:rPr>
                <w:sz w:val="17"/>
                <w:szCs w:val="17"/>
                <w:color w:val="auto"/>
              </w:rPr>
            </w:pPr>
          </w:p>
        </w:tc>
        <w:tc>
          <w:tcPr>
            <w:tcW w:w="2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0.40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0.33</w:t>
            </w:r>
          </w:p>
        </w:tc>
      </w:tr>
      <w:tr>
        <w:trPr>
          <w:trHeight w:val="203"/>
        </w:trPr>
        <w:tc>
          <w:tcPr>
            <w:tcW w:w="4220" w:type="dxa"/>
            <w:vAlign w:val="bottom"/>
          </w:tcPr>
          <w:p>
            <w:pPr>
              <w:spacing w:after="0"/>
              <w:rPr>
                <w:sz w:val="17"/>
                <w:szCs w:val="17"/>
                <w:color w:val="auto"/>
              </w:rPr>
            </w:pPr>
          </w:p>
        </w:tc>
        <w:tc>
          <w:tcPr>
            <w:tcW w:w="2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Weighted average shares outstanding</w:t>
            </w:r>
          </w:p>
        </w:tc>
        <w:tc>
          <w:tcPr>
            <w:tcW w:w="64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8,173,000</w:t>
            </w:r>
          </w:p>
        </w:tc>
        <w:tc>
          <w:tcPr>
            <w:tcW w:w="6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8,076,000</w:t>
            </w:r>
          </w:p>
        </w:tc>
      </w:tr>
      <w:tr>
        <w:trPr>
          <w:trHeight w:val="203"/>
        </w:trPr>
        <w:tc>
          <w:tcPr>
            <w:tcW w:w="4220" w:type="dxa"/>
            <w:vAlign w:val="bottom"/>
          </w:tcPr>
          <w:p>
            <w:pPr>
              <w:spacing w:after="0"/>
              <w:rPr>
                <w:sz w:val="17"/>
                <w:szCs w:val="17"/>
                <w:color w:val="auto"/>
              </w:rPr>
            </w:pPr>
          </w:p>
        </w:tc>
        <w:tc>
          <w:tcPr>
            <w:tcW w:w="2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18</w:t>
      </w:r>
    </w:p>
    <w:p>
      <w:pPr>
        <w:sectPr>
          <w:pgSz w:w="11900" w:h="16838" w:orient="portrait"/>
          <w:cols w:equalWidth="0" w:num="1">
            <w:col w:w="10219"/>
          </w:cols>
          <w:pgMar w:left="240" w:top="1122" w:right="1440" w:bottom="1440" w:gutter="0" w:footer="0" w:header="0"/>
        </w:sectPr>
      </w:pPr>
    </w:p>
    <w:bookmarkStart w:id="5" w:name="page6"/>
    <w:bookmarkEnd w:id="5"/>
    <w:p>
      <w:pPr>
        <w:ind w:left="1700"/>
        <w:spacing w:after="0"/>
        <w:rPr>
          <w:sz w:val="20"/>
          <w:szCs w:val="20"/>
          <w:color w:val="auto"/>
        </w:rPr>
      </w:pPr>
      <w:r>
        <w:rPr>
          <w:rFonts w:ascii="Courier New" w:cs="Courier New" w:eastAsia="Courier New" w:hAnsi="Courier New"/>
          <w:sz w:val="18"/>
          <w:szCs w:val="18"/>
          <w:color w:val="auto"/>
        </w:rPr>
        <w:t>WORLD FUEL SERVICES CORPORATION AND SUBSIDIARIES</w:t>
      </w:r>
    </w:p>
    <w:p>
      <w:pPr>
        <w:ind w:left="2320"/>
        <w:spacing w:after="0" w:line="238" w:lineRule="auto"/>
        <w:rPr>
          <w:sz w:val="20"/>
          <w:szCs w:val="20"/>
          <w:color w:val="auto"/>
        </w:rPr>
      </w:pPr>
      <w:r>
        <w:rPr>
          <w:rFonts w:ascii="Courier New" w:cs="Courier New" w:eastAsia="Courier New" w:hAnsi="Courier New"/>
          <w:sz w:val="18"/>
          <w:szCs w:val="18"/>
          <w:color w:val="auto"/>
        </w:rPr>
        <w:t>CONSOLIDATED STATEMENTS OF CASH FLOWS</w:t>
      </w:r>
    </w:p>
    <w:tbl>
      <w:tblPr>
        <w:tblLayout w:type="fixed"/>
        <w:tblInd w:w="0" w:type="dxa"/>
        <w:tblCellMar>
          <w:top w:w="0" w:type="dxa"/>
          <w:left w:w="0" w:type="dxa"/>
          <w:bottom w:w="0" w:type="dxa"/>
          <w:right w:w="0" w:type="dxa"/>
        </w:tblCellMar>
      </w:tblPr>
      <w:tr>
        <w:trPr>
          <w:trHeight w:val="203"/>
        </w:trPr>
        <w:tc>
          <w:tcPr>
            <w:tcW w:w="4740" w:type="dxa"/>
            <w:vAlign w:val="bottom"/>
          </w:tcPr>
          <w:p>
            <w:pPr>
              <w:ind w:left="3580"/>
              <w:spacing w:after="0"/>
              <w:rPr>
                <w:sz w:val="20"/>
                <w:szCs w:val="20"/>
                <w:color w:val="auto"/>
              </w:rPr>
            </w:pPr>
            <w:r>
              <w:rPr>
                <w:rFonts w:ascii="Courier New" w:cs="Courier New" w:eastAsia="Courier New" w:hAnsi="Courier New"/>
                <w:sz w:val="18"/>
                <w:szCs w:val="18"/>
                <w:color w:val="auto"/>
                <w:w w:val="95"/>
              </w:rPr>
              <w:t>(UNAUDITED)</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4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8"/>
              </w:rPr>
              <w:t>SIX MONTHS ENDED SEPTEMBER 30,</w:t>
            </w:r>
          </w:p>
        </w:tc>
      </w:tr>
      <w:tr>
        <w:trPr>
          <w:trHeight w:val="203"/>
        </w:trPr>
        <w:tc>
          <w:tcPr>
            <w:tcW w:w="4740" w:type="dxa"/>
            <w:vAlign w:val="bottom"/>
          </w:tcPr>
          <w:p>
            <w:pPr>
              <w:spacing w:after="0"/>
              <w:rPr>
                <w:sz w:val="17"/>
                <w:szCs w:val="17"/>
                <w:color w:val="auto"/>
              </w:rPr>
            </w:pPr>
          </w:p>
        </w:tc>
        <w:tc>
          <w:tcPr>
            <w:tcW w:w="38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1996</w:t>
            </w:r>
          </w:p>
        </w:tc>
        <w:tc>
          <w:tcPr>
            <w:tcW w:w="680" w:type="dxa"/>
            <w:vAlign w:val="bottom"/>
          </w:tcPr>
          <w:p>
            <w:pPr>
              <w:spacing w:after="0"/>
              <w:rPr>
                <w:sz w:val="17"/>
                <w:szCs w:val="17"/>
                <w:color w:val="auto"/>
              </w:rPr>
            </w:pP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740" w:type="dxa"/>
            <w:vAlign w:val="bottom"/>
          </w:tcPr>
          <w:p>
            <w:pPr>
              <w:spacing w:after="0"/>
              <w:rPr>
                <w:sz w:val="17"/>
                <w:szCs w:val="17"/>
                <w:color w:val="auto"/>
              </w:rPr>
            </w:pPr>
          </w:p>
        </w:tc>
        <w:tc>
          <w:tcPr>
            <w:tcW w:w="19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7"/>
              </w:rPr>
              <w:t>------------</w:t>
            </w:r>
          </w:p>
        </w:tc>
        <w:tc>
          <w:tcPr>
            <w:tcW w:w="1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7"/>
              </w:rPr>
              <w:t>Cash flows from operating activities:</w:t>
            </w: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6,357,000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5,200,000</w:t>
            </w:r>
          </w:p>
        </w:tc>
      </w:tr>
      <w:tr>
        <w:trPr>
          <w:trHeight w:val="203"/>
        </w:trPr>
        <w:tc>
          <w:tcPr>
            <w:tcW w:w="4740" w:type="dxa"/>
            <w:vAlign w:val="bottom"/>
          </w:tcPr>
          <w:p>
            <w:pPr>
              <w:spacing w:after="0"/>
              <w:rPr>
                <w:sz w:val="17"/>
                <w:szCs w:val="17"/>
                <w:color w:val="auto"/>
              </w:rPr>
            </w:pPr>
          </w:p>
        </w:tc>
        <w:tc>
          <w:tcPr>
            <w:tcW w:w="19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7"/>
              </w:rPr>
              <w:t>------------</w:t>
            </w:r>
          </w:p>
        </w:tc>
        <w:tc>
          <w:tcPr>
            <w:tcW w:w="1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Adjustments to reconcile net</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income to net cash provided by</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operating activities -</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0" w:type="dxa"/>
            <w:vAlign w:val="bottom"/>
          </w:tcPr>
          <w:p>
            <w:pPr>
              <w:spacing w:after="0"/>
              <w:rPr>
                <w:sz w:val="17"/>
                <w:szCs w:val="17"/>
                <w:color w:val="auto"/>
              </w:rPr>
            </w:pP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918,000</w:t>
            </w:r>
          </w:p>
        </w:tc>
        <w:tc>
          <w:tcPr>
            <w:tcW w:w="6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816,000</w:t>
            </w: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160" w:type="dxa"/>
            <w:vAlign w:val="bottom"/>
          </w:tcPr>
          <w:p>
            <w:pPr>
              <w:spacing w:after="0"/>
              <w:rPr>
                <w:sz w:val="17"/>
                <w:szCs w:val="17"/>
                <w:color w:val="auto"/>
              </w:rPr>
            </w:pP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2,534,000</w:t>
            </w:r>
          </w:p>
        </w:tc>
        <w:tc>
          <w:tcPr>
            <w:tcW w:w="6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836,000</w:t>
            </w: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Deferred income tax provision</w:t>
            </w:r>
          </w:p>
        </w:tc>
        <w:tc>
          <w:tcPr>
            <w:tcW w:w="160" w:type="dxa"/>
            <w:vAlign w:val="bottom"/>
          </w:tcPr>
          <w:p>
            <w:pPr>
              <w:spacing w:after="0"/>
              <w:rPr>
                <w:sz w:val="17"/>
                <w:szCs w:val="17"/>
                <w:color w:val="auto"/>
              </w:rPr>
            </w:pP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235,000</w:t>
            </w:r>
          </w:p>
        </w:tc>
        <w:tc>
          <w:tcPr>
            <w:tcW w:w="6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559,000</w:t>
            </w: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Equity in earnings of aviation</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joint venture, net</w:t>
            </w:r>
          </w:p>
        </w:tc>
        <w:tc>
          <w:tcPr>
            <w:tcW w:w="160" w:type="dxa"/>
            <w:vAlign w:val="bottom"/>
          </w:tcPr>
          <w:p>
            <w:pPr>
              <w:spacing w:after="0"/>
              <w:rPr>
                <w:sz w:val="17"/>
                <w:szCs w:val="17"/>
                <w:color w:val="auto"/>
              </w:rPr>
            </w:pP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(562,000)</w:t>
            </w:r>
          </w:p>
        </w:tc>
        <w:tc>
          <w:tcPr>
            <w:tcW w:w="6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(148,000)</w:t>
            </w: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Other non-cash operating charges</w:t>
            </w:r>
          </w:p>
        </w:tc>
        <w:tc>
          <w:tcPr>
            <w:tcW w:w="160" w:type="dxa"/>
            <w:vAlign w:val="bottom"/>
          </w:tcPr>
          <w:p>
            <w:pPr>
              <w:spacing w:after="0"/>
              <w:rPr>
                <w:sz w:val="17"/>
                <w:szCs w:val="17"/>
                <w:color w:val="auto"/>
              </w:rPr>
            </w:pP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5,000</w:t>
            </w:r>
          </w:p>
        </w:tc>
        <w:tc>
          <w:tcPr>
            <w:tcW w:w="6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30,000</w:t>
            </w:r>
          </w:p>
        </w:tc>
      </w:tr>
      <w:tr>
        <w:trPr>
          <w:trHeight w:val="405"/>
        </w:trPr>
        <w:tc>
          <w:tcPr>
            <w:tcW w:w="4740" w:type="dxa"/>
            <w:vAlign w:val="bottom"/>
          </w:tcPr>
          <w:p>
            <w:pPr>
              <w:ind w:left="960"/>
              <w:spacing w:after="0"/>
              <w:rPr>
                <w:sz w:val="20"/>
                <w:szCs w:val="20"/>
                <w:color w:val="auto"/>
              </w:rPr>
            </w:pPr>
            <w:r>
              <w:rPr>
                <w:rFonts w:ascii="Courier New" w:cs="Courier New" w:eastAsia="Courier New" w:hAnsi="Courier New"/>
                <w:sz w:val="18"/>
                <w:szCs w:val="18"/>
                <w:color w:val="auto"/>
              </w:rPr>
              <w:t>Changes in assets and liabilities,</w:t>
            </w: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net of dispositions:</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(Increase) decrease in -</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60" w:type="dxa"/>
            <w:vAlign w:val="bottom"/>
          </w:tcPr>
          <w:p>
            <w:pPr>
              <w:spacing w:after="0"/>
              <w:rPr>
                <w:sz w:val="17"/>
                <w:szCs w:val="17"/>
                <w:color w:val="auto"/>
              </w:rPr>
            </w:pP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(1,474,000)</w:t>
            </w:r>
          </w:p>
        </w:tc>
        <w:tc>
          <w:tcPr>
            <w:tcW w:w="6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(7,590,000)</w:t>
            </w:r>
          </w:p>
        </w:tc>
      </w:tr>
      <w:tr>
        <w:trPr>
          <w:trHeight w:val="203"/>
        </w:trPr>
        <w:tc>
          <w:tcPr>
            <w:tcW w:w="4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Inventories</w:t>
            </w:r>
          </w:p>
        </w:tc>
        <w:tc>
          <w:tcPr>
            <w:tcW w:w="160" w:type="dxa"/>
            <w:vAlign w:val="bottom"/>
          </w:tcPr>
          <w:p>
            <w:pPr>
              <w:spacing w:after="0"/>
              <w:rPr>
                <w:sz w:val="17"/>
                <w:szCs w:val="17"/>
                <w:color w:val="auto"/>
              </w:rPr>
            </w:pP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(459,000)</w:t>
            </w:r>
          </w:p>
        </w:tc>
        <w:tc>
          <w:tcPr>
            <w:tcW w:w="6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(133,000)</w:t>
            </w:r>
          </w:p>
        </w:tc>
      </w:tr>
      <w:tr>
        <w:trPr>
          <w:trHeight w:val="203"/>
        </w:trPr>
        <w:tc>
          <w:tcPr>
            <w:tcW w:w="4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current assets</w:t>
            </w:r>
          </w:p>
        </w:tc>
        <w:tc>
          <w:tcPr>
            <w:tcW w:w="160" w:type="dxa"/>
            <w:vAlign w:val="bottom"/>
          </w:tcPr>
          <w:p>
            <w:pPr>
              <w:spacing w:after="0"/>
              <w:rPr>
                <w:sz w:val="17"/>
                <w:szCs w:val="17"/>
                <w:color w:val="auto"/>
              </w:rPr>
            </w:pP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(4,025,000)</w:t>
            </w:r>
          </w:p>
        </w:tc>
        <w:tc>
          <w:tcPr>
            <w:tcW w:w="6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569,000</w:t>
            </w:r>
          </w:p>
        </w:tc>
      </w:tr>
      <w:tr>
        <w:trPr>
          <w:trHeight w:val="203"/>
        </w:trPr>
        <w:tc>
          <w:tcPr>
            <w:tcW w:w="4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Other assets</w:t>
            </w:r>
          </w:p>
        </w:tc>
        <w:tc>
          <w:tcPr>
            <w:tcW w:w="160" w:type="dxa"/>
            <w:vAlign w:val="bottom"/>
          </w:tcPr>
          <w:p>
            <w:pPr>
              <w:spacing w:after="0"/>
              <w:rPr>
                <w:sz w:val="17"/>
                <w:szCs w:val="17"/>
                <w:color w:val="auto"/>
              </w:rPr>
            </w:pP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773,000</w:t>
            </w:r>
          </w:p>
        </w:tc>
        <w:tc>
          <w:tcPr>
            <w:tcW w:w="6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(164,000)</w:t>
            </w: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Increase (decrease) in -</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Accounts payable and accrued</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1,102,000</w:t>
            </w:r>
          </w:p>
        </w:tc>
        <w:tc>
          <w:tcPr>
            <w:tcW w:w="6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6,875,000</w:t>
            </w:r>
          </w:p>
        </w:tc>
      </w:tr>
      <w:tr>
        <w:trPr>
          <w:trHeight w:val="203"/>
        </w:trPr>
        <w:tc>
          <w:tcPr>
            <w:tcW w:w="47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Customer deposits</w:t>
            </w:r>
          </w:p>
        </w:tc>
        <w:tc>
          <w:tcPr>
            <w:tcW w:w="160" w:type="dxa"/>
            <w:vAlign w:val="bottom"/>
          </w:tcPr>
          <w:p>
            <w:pPr>
              <w:spacing w:after="0"/>
              <w:rPr>
                <w:sz w:val="17"/>
                <w:szCs w:val="17"/>
                <w:color w:val="auto"/>
              </w:rPr>
            </w:pP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(118,000)</w:t>
            </w:r>
          </w:p>
        </w:tc>
        <w:tc>
          <w:tcPr>
            <w:tcW w:w="6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(201,000)</w:t>
            </w:r>
          </w:p>
        </w:tc>
      </w:tr>
      <w:tr>
        <w:trPr>
          <w:trHeight w:val="203"/>
        </w:trPr>
        <w:tc>
          <w:tcPr>
            <w:tcW w:w="47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160" w:type="dxa"/>
            <w:vAlign w:val="bottom"/>
          </w:tcPr>
          <w:p>
            <w:pPr>
              <w:spacing w:after="0"/>
              <w:rPr>
                <w:sz w:val="17"/>
                <w:szCs w:val="17"/>
                <w:color w:val="auto"/>
              </w:rPr>
            </w:pP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(422,000)</w:t>
            </w:r>
          </w:p>
        </w:tc>
        <w:tc>
          <w:tcPr>
            <w:tcW w:w="6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764,000</w:t>
            </w:r>
          </w:p>
        </w:tc>
      </w:tr>
      <w:tr>
        <w:trPr>
          <w:trHeight w:val="203"/>
        </w:trPr>
        <w:tc>
          <w:tcPr>
            <w:tcW w:w="47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60" w:type="dxa"/>
            <w:vAlign w:val="bottom"/>
          </w:tcPr>
          <w:p>
            <w:pPr>
              <w:spacing w:after="0"/>
              <w:rPr>
                <w:sz w:val="17"/>
                <w:szCs w:val="17"/>
                <w:color w:val="auto"/>
              </w:rPr>
            </w:pP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430,000</w:t>
            </w:r>
          </w:p>
        </w:tc>
        <w:tc>
          <w:tcPr>
            <w:tcW w:w="6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(764,000)</w:t>
            </w:r>
          </w:p>
        </w:tc>
      </w:tr>
      <w:tr>
        <w:trPr>
          <w:trHeight w:val="203"/>
        </w:trPr>
        <w:tc>
          <w:tcPr>
            <w:tcW w:w="47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60" w:type="dxa"/>
            <w:vAlign w:val="bottom"/>
          </w:tcPr>
          <w:p>
            <w:pPr>
              <w:spacing w:after="0"/>
              <w:rPr>
                <w:sz w:val="17"/>
                <w:szCs w:val="17"/>
                <w:color w:val="auto"/>
              </w:rPr>
            </w:pP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(43,000)</w:t>
            </w:r>
          </w:p>
        </w:tc>
        <w:tc>
          <w:tcPr>
            <w:tcW w:w="6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(53,000)</w:t>
            </w:r>
          </w:p>
        </w:tc>
      </w:tr>
      <w:tr>
        <w:trPr>
          <w:trHeight w:val="203"/>
        </w:trPr>
        <w:tc>
          <w:tcPr>
            <w:tcW w:w="4740" w:type="dxa"/>
            <w:vAlign w:val="bottom"/>
          </w:tcPr>
          <w:p>
            <w:pPr>
              <w:spacing w:after="0"/>
              <w:rPr>
                <w:sz w:val="17"/>
                <w:szCs w:val="17"/>
                <w:color w:val="auto"/>
              </w:rPr>
            </w:pPr>
          </w:p>
        </w:tc>
        <w:tc>
          <w:tcPr>
            <w:tcW w:w="19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7"/>
              </w:rPr>
              <w:t>------------</w:t>
            </w:r>
          </w:p>
        </w:tc>
        <w:tc>
          <w:tcPr>
            <w:tcW w:w="1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ind w:left="1280"/>
              <w:spacing w:after="0"/>
              <w:rPr>
                <w:sz w:val="20"/>
                <w:szCs w:val="20"/>
                <w:color w:val="auto"/>
              </w:rPr>
            </w:pPr>
            <w:r>
              <w:rPr>
                <w:rFonts w:ascii="Courier New" w:cs="Courier New" w:eastAsia="Courier New" w:hAnsi="Courier New"/>
                <w:sz w:val="18"/>
                <w:szCs w:val="18"/>
                <w:color w:val="auto"/>
              </w:rPr>
              <w:t>Total adjustments</w:t>
            </w:r>
          </w:p>
        </w:tc>
        <w:tc>
          <w:tcPr>
            <w:tcW w:w="160" w:type="dxa"/>
            <w:vAlign w:val="bottom"/>
          </w:tcPr>
          <w:p>
            <w:pPr>
              <w:spacing w:after="0"/>
              <w:rPr>
                <w:sz w:val="24"/>
                <w:szCs w:val="24"/>
                <w:color w:val="auto"/>
              </w:rPr>
            </w:pPr>
          </w:p>
        </w:tc>
        <w:tc>
          <w:tcPr>
            <w:tcW w:w="17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(1,106,000)</w:t>
            </w:r>
          </w:p>
        </w:tc>
        <w:tc>
          <w:tcPr>
            <w:tcW w:w="68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1,396,000</w:t>
            </w:r>
          </w:p>
        </w:tc>
      </w:tr>
      <w:tr>
        <w:trPr>
          <w:trHeight w:val="203"/>
        </w:trPr>
        <w:tc>
          <w:tcPr>
            <w:tcW w:w="4740" w:type="dxa"/>
            <w:vAlign w:val="bottom"/>
          </w:tcPr>
          <w:p>
            <w:pPr>
              <w:spacing w:after="0"/>
              <w:rPr>
                <w:sz w:val="17"/>
                <w:szCs w:val="17"/>
                <w:color w:val="auto"/>
              </w:rPr>
            </w:pPr>
          </w:p>
        </w:tc>
        <w:tc>
          <w:tcPr>
            <w:tcW w:w="19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7"/>
              </w:rPr>
              <w:t>------------</w:t>
            </w:r>
          </w:p>
        </w:tc>
        <w:tc>
          <w:tcPr>
            <w:tcW w:w="1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Net cash provided by operating</w:t>
            </w: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activities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5,251,000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6,596,000</w:t>
            </w:r>
          </w:p>
        </w:tc>
      </w:tr>
      <w:tr>
        <w:trPr>
          <w:trHeight w:val="203"/>
        </w:trPr>
        <w:tc>
          <w:tcPr>
            <w:tcW w:w="4740" w:type="dxa"/>
            <w:vAlign w:val="bottom"/>
          </w:tcPr>
          <w:p>
            <w:pPr>
              <w:spacing w:after="0"/>
              <w:rPr>
                <w:sz w:val="17"/>
                <w:szCs w:val="17"/>
                <w:color w:val="auto"/>
              </w:rPr>
            </w:pPr>
          </w:p>
        </w:tc>
        <w:tc>
          <w:tcPr>
            <w:tcW w:w="19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7"/>
              </w:rPr>
              <w:t>------------</w:t>
            </w:r>
          </w:p>
        </w:tc>
        <w:tc>
          <w:tcPr>
            <w:tcW w:w="1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7 of 18</w:t>
      </w:r>
    </w:p>
    <w:p>
      <w:pPr>
        <w:sectPr>
          <w:pgSz w:w="11900" w:h="16838" w:orient="portrait"/>
          <w:cols w:equalWidth="0" w:num="1">
            <w:col w:w="10219"/>
          </w:cols>
          <w:pgMar w:left="240" w:top="1122"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ind w:left="3580"/>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39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SIX MONTHS ENDED SEPTEMBER 30,</w:t>
            </w:r>
          </w:p>
        </w:tc>
      </w:tr>
      <w:tr>
        <w:trPr>
          <w:trHeight w:val="203"/>
        </w:trPr>
        <w:tc>
          <w:tcPr>
            <w:tcW w:w="4640" w:type="dxa"/>
            <w:vAlign w:val="bottom"/>
          </w:tcPr>
          <w:p>
            <w:pPr>
              <w:spacing w:after="0"/>
              <w:rPr>
                <w:sz w:val="17"/>
                <w:szCs w:val="17"/>
                <w:color w:val="auto"/>
              </w:rPr>
            </w:pPr>
          </w:p>
        </w:tc>
        <w:tc>
          <w:tcPr>
            <w:tcW w:w="3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640" w:type="dxa"/>
            <w:vAlign w:val="bottom"/>
          </w:tcPr>
          <w:p>
            <w:pPr>
              <w:spacing w:after="0"/>
              <w:rPr>
                <w:sz w:val="17"/>
                <w:szCs w:val="17"/>
                <w:color w:val="auto"/>
              </w:rPr>
            </w:pPr>
          </w:p>
        </w:tc>
        <w:tc>
          <w:tcPr>
            <w:tcW w:w="200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1996</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640" w:type="dxa"/>
            <w:vAlign w:val="bottom"/>
          </w:tcPr>
          <w:p>
            <w:pPr>
              <w:spacing w:after="0"/>
              <w:rPr>
                <w:sz w:val="17"/>
                <w:szCs w:val="17"/>
                <w:color w:val="auto"/>
              </w:rPr>
            </w:pPr>
          </w:p>
        </w:tc>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0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Additions to property, plant</w:t>
            </w:r>
          </w:p>
        </w:tc>
        <w:tc>
          <w:tcPr>
            <w:tcW w:w="2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equipment</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(1,534,000)</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(611,000)</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Advances to aviation joint venture</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(288,000)</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Repayments from aviation joint venture</w:t>
            </w:r>
          </w:p>
        </w:tc>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338,000</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disposition of assets</w:t>
            </w:r>
          </w:p>
        </w:tc>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29,000</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207,000</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notes receivable</w:t>
            </w:r>
          </w:p>
        </w:tc>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278,000</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793,000</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Additional expenditures for</w:t>
            </w:r>
          </w:p>
        </w:tc>
        <w:tc>
          <w:tcPr>
            <w:tcW w:w="2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acquisition of business</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(8,000)</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w:t>
            </w:r>
          </w:p>
        </w:tc>
      </w:tr>
      <w:tr>
        <w:trPr>
          <w:trHeight w:val="203"/>
        </w:trPr>
        <w:tc>
          <w:tcPr>
            <w:tcW w:w="4640" w:type="dxa"/>
            <w:vAlign w:val="bottom"/>
          </w:tcPr>
          <w:p>
            <w:pPr>
              <w:spacing w:after="0"/>
              <w:rPr>
                <w:sz w:val="17"/>
                <w:szCs w:val="17"/>
                <w:color w:val="auto"/>
              </w:rPr>
            </w:pPr>
          </w:p>
        </w:tc>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(used in) provided by</w:t>
            </w:r>
          </w:p>
        </w:tc>
        <w:tc>
          <w:tcPr>
            <w:tcW w:w="2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(1,523,000)</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687,000</w:t>
            </w:r>
          </w:p>
        </w:tc>
      </w:tr>
      <w:tr>
        <w:trPr>
          <w:trHeight w:val="203"/>
        </w:trPr>
        <w:tc>
          <w:tcPr>
            <w:tcW w:w="4640" w:type="dxa"/>
            <w:vAlign w:val="bottom"/>
          </w:tcPr>
          <w:p>
            <w:pPr>
              <w:spacing w:after="0"/>
              <w:rPr>
                <w:sz w:val="17"/>
                <w:szCs w:val="17"/>
                <w:color w:val="auto"/>
              </w:rPr>
            </w:pPr>
          </w:p>
        </w:tc>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0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Dividends paid on common stock</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(1,005,000)</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(1,056,000)</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Repayment of long-term debt</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(40,000)</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(92,000)</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38,000</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ind w:left="640"/>
              <w:spacing w:after="0"/>
              <w:rPr>
                <w:sz w:val="20"/>
                <w:szCs w:val="20"/>
                <w:color w:val="auto"/>
              </w:rPr>
            </w:pPr>
            <w:r>
              <w:rPr>
                <w:rFonts w:ascii="Courier New" w:cs="Courier New" w:eastAsia="Courier New" w:hAnsi="Courier New"/>
                <w:sz w:val="18"/>
                <w:szCs w:val="18"/>
                <w:color w:val="auto"/>
                <w:w w:val="99"/>
              </w:rPr>
              <w:t>Net cash used in financing activities</w:t>
            </w:r>
          </w:p>
        </w:tc>
        <w:tc>
          <w:tcPr>
            <w:tcW w:w="20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(1,007,000)</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(1,148,000)</w:t>
            </w:r>
          </w:p>
        </w:tc>
      </w:tr>
      <w:tr>
        <w:trPr>
          <w:trHeight w:val="203"/>
        </w:trPr>
        <w:tc>
          <w:tcPr>
            <w:tcW w:w="4640" w:type="dxa"/>
            <w:vAlign w:val="bottom"/>
          </w:tcPr>
          <w:p>
            <w:pPr>
              <w:spacing w:after="0"/>
              <w:rPr>
                <w:sz w:val="17"/>
                <w:szCs w:val="17"/>
                <w:color w:val="auto"/>
              </w:rPr>
            </w:pPr>
          </w:p>
        </w:tc>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cash and cash equivalents</w:t>
            </w:r>
          </w:p>
        </w:tc>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2,721,000</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6,135,000</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beginning</w:t>
            </w:r>
          </w:p>
        </w:tc>
        <w:tc>
          <w:tcPr>
            <w:tcW w:w="20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period</w:t>
            </w:r>
          </w:p>
        </w:tc>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12,856,000</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10,907,000</w:t>
            </w:r>
          </w:p>
        </w:tc>
      </w:tr>
      <w:tr>
        <w:trPr>
          <w:trHeight w:val="203"/>
        </w:trPr>
        <w:tc>
          <w:tcPr>
            <w:tcW w:w="4640" w:type="dxa"/>
            <w:vAlign w:val="bottom"/>
          </w:tcPr>
          <w:p>
            <w:pPr>
              <w:spacing w:after="0"/>
              <w:rPr>
                <w:sz w:val="17"/>
                <w:szCs w:val="17"/>
                <w:color w:val="auto"/>
              </w:rPr>
            </w:pPr>
          </w:p>
        </w:tc>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end</w:t>
            </w:r>
          </w:p>
        </w:tc>
        <w:tc>
          <w:tcPr>
            <w:tcW w:w="20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period</w:t>
            </w:r>
          </w:p>
        </w:tc>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$ 15,577,000</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$ 17,042,000</w:t>
            </w:r>
          </w:p>
        </w:tc>
      </w:tr>
      <w:tr>
        <w:trPr>
          <w:trHeight w:val="203"/>
        </w:trPr>
        <w:tc>
          <w:tcPr>
            <w:tcW w:w="4640" w:type="dxa"/>
            <w:vAlign w:val="bottom"/>
          </w:tcPr>
          <w:p>
            <w:pPr>
              <w:spacing w:after="0"/>
              <w:rPr>
                <w:sz w:val="17"/>
                <w:szCs w:val="17"/>
                <w:color w:val="auto"/>
              </w:rPr>
            </w:pPr>
          </w:p>
        </w:tc>
        <w:tc>
          <w:tcPr>
            <w:tcW w:w="2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8 of 18</w:t>
      </w:r>
    </w:p>
    <w:p>
      <w:pPr>
        <w:sectPr>
          <w:pgSz w:w="11900" w:h="16838" w:orient="portrait"/>
          <w:cols w:equalWidth="0" w:num="1">
            <w:col w:w="10219"/>
          </w:cols>
          <w:pgMar w:left="240" w:top="1122"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WORLD FUEL SERVICES CORPORATION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ind w:left="3580"/>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4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w w:val="98"/>
              </w:rPr>
              <w:t>SIX MONTHS ENDED SEPTEMBER 30,</w:t>
            </w:r>
          </w:p>
        </w:tc>
      </w:tr>
      <w:tr>
        <w:trPr>
          <w:trHeight w:val="203"/>
        </w:trPr>
        <w:tc>
          <w:tcPr>
            <w:tcW w:w="4320" w:type="dxa"/>
            <w:vAlign w:val="bottom"/>
          </w:tcPr>
          <w:p>
            <w:pPr>
              <w:spacing w:after="0"/>
              <w:rPr>
                <w:sz w:val="17"/>
                <w:szCs w:val="17"/>
                <w:color w:val="auto"/>
              </w:rPr>
            </w:pPr>
          </w:p>
        </w:tc>
        <w:tc>
          <w:tcPr>
            <w:tcW w:w="4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1996</w:t>
            </w:r>
          </w:p>
        </w:tc>
        <w:tc>
          <w:tcPr>
            <w:tcW w:w="7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320" w:type="dxa"/>
            <w:vAlign w:val="bottom"/>
          </w:tcPr>
          <w:p>
            <w:pPr>
              <w:spacing w:after="0"/>
              <w:rPr>
                <w:sz w:val="17"/>
                <w:szCs w:val="17"/>
                <w:color w:val="auto"/>
              </w:rPr>
            </w:pPr>
          </w:p>
        </w:tc>
        <w:tc>
          <w:tcPr>
            <w:tcW w:w="22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SUPPLEMENTAL DISCLOSURES OF CASH FLOW</w:t>
            </w: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INFORMATION:</w:t>
            </w:r>
          </w:p>
        </w:tc>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Cash paid during the period for:</w:t>
            </w: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Interest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50,000</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38,000</w:t>
            </w:r>
          </w:p>
        </w:tc>
      </w:tr>
      <w:tr>
        <w:trPr>
          <w:trHeight w:val="203"/>
        </w:trPr>
        <w:tc>
          <w:tcPr>
            <w:tcW w:w="4320" w:type="dxa"/>
            <w:vAlign w:val="bottom"/>
          </w:tcPr>
          <w:p>
            <w:pPr>
              <w:spacing w:after="0"/>
              <w:rPr>
                <w:sz w:val="17"/>
                <w:szCs w:val="17"/>
                <w:color w:val="auto"/>
              </w:rPr>
            </w:pPr>
          </w:p>
        </w:tc>
        <w:tc>
          <w:tcPr>
            <w:tcW w:w="22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ind w:left="640"/>
              <w:spacing w:after="0"/>
              <w:rPr>
                <w:sz w:val="20"/>
                <w:szCs w:val="20"/>
                <w:color w:val="auto"/>
              </w:rPr>
            </w:pPr>
            <w:r>
              <w:rPr>
                <w:rFonts w:ascii="Courier New" w:cs="Courier New" w:eastAsia="Courier New" w:hAnsi="Courier New"/>
                <w:sz w:val="18"/>
                <w:szCs w:val="18"/>
                <w:color w:val="auto"/>
              </w:rPr>
              <w:t>Income taxes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2,343,000</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3,276,000</w:t>
            </w:r>
          </w:p>
        </w:tc>
      </w:tr>
      <w:tr>
        <w:trPr>
          <w:trHeight w:val="203"/>
        </w:trPr>
        <w:tc>
          <w:tcPr>
            <w:tcW w:w="4320" w:type="dxa"/>
            <w:vAlign w:val="bottom"/>
          </w:tcPr>
          <w:p>
            <w:pPr>
              <w:spacing w:after="0"/>
              <w:rPr>
                <w:sz w:val="17"/>
                <w:szCs w:val="17"/>
                <w:color w:val="auto"/>
              </w:rPr>
            </w:pPr>
          </w:p>
        </w:tc>
        <w:tc>
          <w:tcPr>
            <w:tcW w:w="22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SCHEDULE OF NONCASH ACTIVITIES: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As partial consideration for the sale of certain assets on June 1,</w:t>
      </w:r>
    </w:p>
    <w:p>
      <w:pPr>
        <w:spacing w:after="0" w:line="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1995, the Company received a $979,000 note receivable, with an original maturity date of July 1, 2007. In October 1995, the entire outstanding principal balance was collected in cash, net of a $98,000 pre-payment discount.</w:t>
      </w:r>
    </w:p>
    <w:p>
      <w:pPr>
        <w:spacing w:after="0" w:line="17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Cash dividends declared, but not yet paid, totaling $603,000 and $396,000, are included in accounts payable and accrued expenses as of September 30, 1996 and 1995, respectively.</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9 of 18</w:t>
      </w:r>
    </w:p>
    <w:p>
      <w:pPr>
        <w:sectPr>
          <w:pgSz w:w="11900" w:h="16838" w:orient="portrait"/>
          <w:cols w:equalWidth="0" w:num="1">
            <w:col w:w="10219"/>
          </w:cols>
          <w:pgMar w:left="240" w:top="919" w:right="1440" w:bottom="1440" w:gutter="0" w:footer="0" w:header="0"/>
        </w:sectPr>
      </w:pPr>
    </w:p>
    <w:bookmarkStart w:id="8" w:name="page9"/>
    <w:bookmarkEnd w:id="8"/>
    <w:p>
      <w:pPr>
        <w:ind w:left="860" w:right="1879" w:hanging="842"/>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SIX MONTHS ENDED SEPTEMBER 30, 1996 COMPARED TO THE SIX MONTHS ENDED SEPTEMBER 30, 1995</w:t>
      </w:r>
    </w:p>
    <w:p>
      <w:pPr>
        <w:spacing w:after="0" w:line="208" w:lineRule="exact"/>
        <w:rPr>
          <w:sz w:val="20"/>
          <w:szCs w:val="20"/>
          <w:color w:val="auto"/>
        </w:rPr>
      </w:pPr>
    </w:p>
    <w:p>
      <w:pPr>
        <w:ind w:right="2199" w:firstLine="737"/>
        <w:spacing w:after="0" w:line="275" w:lineRule="auto"/>
        <w:rPr>
          <w:sz w:val="20"/>
          <w:szCs w:val="20"/>
          <w:color w:val="auto"/>
        </w:rPr>
      </w:pPr>
      <w:r>
        <w:rPr>
          <w:rFonts w:ascii="Courier New" w:cs="Courier New" w:eastAsia="Courier New" w:hAnsi="Courier New"/>
          <w:sz w:val="16"/>
          <w:szCs w:val="16"/>
          <w:color w:val="auto"/>
        </w:rPr>
        <w:t>The Company's revenue for the six months ended September 30, 1996 was $351,043,000, an increase of $66,425,000 or 23.3%, as compared to revenue of $284,618,000 for the corresponding period of the prior year. The Company's revenue during these periods was attributable to the following segments:</w:t>
      </w:r>
    </w:p>
    <w:p>
      <w:pPr>
        <w:spacing w:after="0" w:line="177"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SIX MONTHS ENDED</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SEPTEMBER 30,</w:t>
            </w:r>
          </w:p>
        </w:tc>
      </w:tr>
      <w:tr>
        <w:trPr>
          <w:trHeight w:val="203"/>
        </w:trPr>
        <w:tc>
          <w:tcPr>
            <w:tcW w:w="2220" w:type="dxa"/>
            <w:vAlign w:val="bottom"/>
          </w:tcPr>
          <w:p>
            <w:pPr>
              <w:spacing w:after="0"/>
              <w:rPr>
                <w:sz w:val="17"/>
                <w:szCs w:val="17"/>
                <w:color w:val="auto"/>
              </w:rPr>
            </w:pPr>
          </w:p>
        </w:tc>
        <w:tc>
          <w:tcPr>
            <w:tcW w:w="2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1996</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22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Aviation Fueling</w:t>
            </w: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$ 178,485,000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$ 136,398,000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160,922,000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139,936,000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Oil Recycling</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11,636,000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8,284,000</w:t>
            </w:r>
          </w:p>
        </w:tc>
      </w:tr>
      <w:tr>
        <w:trPr>
          <w:trHeight w:val="203"/>
        </w:trPr>
        <w:tc>
          <w:tcPr>
            <w:tcW w:w="222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Total Revenue</w:t>
            </w: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$ 351,043,000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$ 284,618,000</w:t>
            </w:r>
          </w:p>
        </w:tc>
      </w:tr>
      <w:tr>
        <w:trPr>
          <w:trHeight w:val="203"/>
        </w:trPr>
        <w:tc>
          <w:tcPr>
            <w:tcW w:w="222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7"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The aviation fueling segment contributed $178,485,000 in revenue for the six months ended September 30, 1996. This represented increase in revenue of $42,087,000, or 30.9%, as compared to the same period of the prior year. The increase in revenue was due to an increase in volume and the average price per gallon sold. The marine fueling segment contributed $160,922,000 in revenue for the six months ended September 30, 1996, an increase of $20,986,000, or 15.0%, over the corresponding period of the prior year. The increase in revenue was related primarily to increases in volume traded and the average price per metric ton, partially offset by a decrease in the volume brokered. The oil recycling segment contributed $11,636,000 in revenue for the six months ended September 30, 1996, an increase of $3,352,000, or 40,5%, as compared to the same period of the prior year. The increase in revenue was due to an increase in volume and the average sales price per gallon of recycled oil sold, and higher used oil and waste water collection revenue.</w:t>
      </w:r>
    </w:p>
    <w:p>
      <w:pPr>
        <w:spacing w:after="0" w:line="208" w:lineRule="exact"/>
        <w:rPr>
          <w:sz w:val="20"/>
          <w:szCs w:val="20"/>
          <w:color w:val="auto"/>
        </w:rPr>
      </w:pPr>
    </w:p>
    <w:p>
      <w:pPr>
        <w:ind w:right="2199" w:firstLine="737"/>
        <w:spacing w:after="0" w:line="237" w:lineRule="auto"/>
        <w:rPr>
          <w:sz w:val="20"/>
          <w:szCs w:val="20"/>
          <w:color w:val="auto"/>
        </w:rPr>
      </w:pPr>
      <w:r>
        <w:rPr>
          <w:rFonts w:ascii="Courier New" w:cs="Courier New" w:eastAsia="Courier New" w:hAnsi="Courier New"/>
          <w:sz w:val="18"/>
          <w:szCs w:val="18"/>
          <w:color w:val="auto"/>
        </w:rPr>
        <w:t>The Company's gross profit of $23,258,000 for the six months ended September 30, 1996, increased $4,173,000, or 21.9%, as compared to the same period of the prior year. The Company's gross margin decreased slightly from 6.7% for the six months ended September 30, 1995, to 6.6% for the six months ended September 30, 1996.</w:t>
      </w:r>
    </w:p>
    <w:p>
      <w:pPr>
        <w:spacing w:after="0" w:line="209"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The Company's aviation fueling business achieved a 6.6% gross margin for the six months ended September 30, 1996, as compared to 7.5% achieved for the same period during the prior year. The decrease resulted from an increase in the average sales price per gallon sold,</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10 of 18</w:t>
      </w:r>
    </w:p>
    <w:p>
      <w:pPr>
        <w:sectPr>
          <w:pgSz w:w="11900" w:h="16838" w:orient="portrait"/>
          <w:cols w:equalWidth="0" w:num="1">
            <w:col w:w="10219"/>
          </w:cols>
          <w:pgMar w:left="240" w:top="925" w:right="1440" w:bottom="1440" w:gutter="0" w:footer="0" w:header="0"/>
        </w:sectPr>
      </w:pPr>
    </w:p>
    <w:bookmarkStart w:id="9" w:name="page10"/>
    <w:bookmarkEnd w:id="9"/>
    <w:p>
      <w:pPr>
        <w:ind w:right="1779"/>
        <w:spacing w:after="0" w:line="271" w:lineRule="auto"/>
        <w:rPr>
          <w:sz w:val="20"/>
          <w:szCs w:val="20"/>
          <w:color w:val="auto"/>
        </w:rPr>
      </w:pPr>
      <w:r>
        <w:rPr>
          <w:rFonts w:ascii="Courier New" w:cs="Courier New" w:eastAsia="Courier New" w:hAnsi="Courier New"/>
          <w:sz w:val="16"/>
          <w:szCs w:val="16"/>
          <w:color w:val="auto"/>
        </w:rPr>
        <w:t>despite a slight increase in the average gross profit per gallon. The Company's marine fueling segment achieved a 4.6% gross margin for the six months ended September 30, 1996, as compared to a 4.4% gross margin for the same period of the prior year. The increase resulted from a higher gross profit per metric ton, in both trading and brokering activities, despite a modest increase in the average sales price per metric ton. The gross margin in the Company's oil recycling segment increased from 32.7% for the six months ended September 30, 1995, to 34.7% for the six months ended September 30, 1996. The increase resulted from a higher gross profit per gallon of recycled oil sold.</w:t>
      </w:r>
    </w:p>
    <w:p>
      <w:pPr>
        <w:spacing w:after="0" w:line="184"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Total operating expenses for the six months ended September 30, 1996 were $14,991,000, an increase of $3,312,000, or 28.4%, as compared to the same period of the prior year. The increase resulted primarily from a higher provision for bad debts in the aviation fueling segment, which increased $1,547,000 over the corresponding period during the prior year, as well as higher salaries related to performance based employment contracts, higher legal and professional fees, and the expenses associated with the newly established Costa Rican operations. In relation to revenue, total operating expenses increased from 4.1% to 4.3%.</w:t>
      </w:r>
    </w:p>
    <w:p>
      <w:pPr>
        <w:spacing w:after="0" w:line="214" w:lineRule="exact"/>
        <w:rPr>
          <w:sz w:val="20"/>
          <w:szCs w:val="20"/>
          <w:color w:val="auto"/>
        </w:rPr>
      </w:pPr>
    </w:p>
    <w:p>
      <w:pPr>
        <w:jc w:val="both"/>
        <w:ind w:right="1999" w:firstLine="737"/>
        <w:spacing w:after="0" w:line="237" w:lineRule="auto"/>
        <w:rPr>
          <w:sz w:val="20"/>
          <w:szCs w:val="20"/>
          <w:color w:val="auto"/>
        </w:rPr>
      </w:pPr>
      <w:r>
        <w:rPr>
          <w:rFonts w:ascii="Courier New" w:cs="Courier New" w:eastAsia="Courier New" w:hAnsi="Courier New"/>
          <w:sz w:val="18"/>
          <w:szCs w:val="18"/>
          <w:color w:val="auto"/>
        </w:rPr>
        <w:t>The Company's income from operations for the six months ended September 30, 1996 was $8,267,000, an increase of $861,000, or 11.6%, as compared to the same period of the prior year. Income from operations during these periods was attributable to the following segments:</w:t>
      </w:r>
    </w:p>
    <w:p>
      <w:pPr>
        <w:spacing w:after="0" w:line="202"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3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SIX MONTHS ENDED SEPTEMBER 30,</w:t>
            </w:r>
          </w:p>
        </w:tc>
      </w:tr>
      <w:tr>
        <w:trPr>
          <w:trHeight w:val="203"/>
        </w:trPr>
        <w:tc>
          <w:tcPr>
            <w:tcW w:w="2480" w:type="dxa"/>
            <w:vAlign w:val="bottom"/>
          </w:tcPr>
          <w:p>
            <w:pPr>
              <w:spacing w:after="0"/>
              <w:rPr>
                <w:sz w:val="17"/>
                <w:szCs w:val="17"/>
                <w:color w:val="auto"/>
              </w:rPr>
            </w:pP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1996</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480" w:type="dxa"/>
            <w:vAlign w:val="bottom"/>
          </w:tcPr>
          <w:p>
            <w:pPr>
              <w:spacing w:after="0"/>
              <w:rPr>
                <w:sz w:val="17"/>
                <w:szCs w:val="17"/>
                <w:color w:val="auto"/>
              </w:rPr>
            </w:pPr>
          </w:p>
        </w:tc>
        <w:tc>
          <w:tcPr>
            <w:tcW w:w="2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Aviation Fueling</w:t>
            </w:r>
          </w:p>
        </w:tc>
        <w:tc>
          <w:tcPr>
            <w:tcW w:w="21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$ 5,709,000</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$ 6,978,000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2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2,212,000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1,453,000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Oil Recycling</w:t>
            </w:r>
          </w:p>
        </w:tc>
        <w:tc>
          <w:tcPr>
            <w:tcW w:w="2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2,807,000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1,472,000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Overhead</w:t>
            </w: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(2,461,000)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(2,497,000)</w:t>
            </w:r>
          </w:p>
        </w:tc>
      </w:tr>
      <w:tr>
        <w:trPr>
          <w:trHeight w:val="203"/>
        </w:trPr>
        <w:tc>
          <w:tcPr>
            <w:tcW w:w="2480" w:type="dxa"/>
            <w:vAlign w:val="bottom"/>
          </w:tcPr>
          <w:p>
            <w:pPr>
              <w:spacing w:after="0"/>
              <w:rPr>
                <w:sz w:val="17"/>
                <w:szCs w:val="17"/>
                <w:color w:val="auto"/>
              </w:rPr>
            </w:pPr>
          </w:p>
        </w:tc>
        <w:tc>
          <w:tcPr>
            <w:tcW w:w="2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Total Income from</w:t>
            </w:r>
          </w:p>
        </w:tc>
        <w:tc>
          <w:tcPr>
            <w:tcW w:w="2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2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Operations</w:t>
            </w:r>
          </w:p>
        </w:tc>
        <w:tc>
          <w:tcPr>
            <w:tcW w:w="2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$ 8,267,000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$ 7,406,000</w:t>
            </w:r>
          </w:p>
        </w:tc>
      </w:tr>
      <w:tr>
        <w:trPr>
          <w:trHeight w:val="203"/>
        </w:trPr>
        <w:tc>
          <w:tcPr>
            <w:tcW w:w="2480" w:type="dxa"/>
            <w:vAlign w:val="bottom"/>
          </w:tcPr>
          <w:p>
            <w:pPr>
              <w:spacing w:after="0"/>
              <w:rPr>
                <w:sz w:val="17"/>
                <w:szCs w:val="17"/>
                <w:color w:val="auto"/>
              </w:rPr>
            </w:pPr>
          </w:p>
        </w:tc>
        <w:tc>
          <w:tcPr>
            <w:tcW w:w="2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879" w:firstLine="737"/>
        <w:spacing w:after="0" w:line="271" w:lineRule="auto"/>
        <w:rPr>
          <w:sz w:val="20"/>
          <w:szCs w:val="20"/>
          <w:color w:val="auto"/>
        </w:rPr>
      </w:pPr>
      <w:r>
        <w:rPr>
          <w:rFonts w:ascii="Courier New" w:cs="Courier New" w:eastAsia="Courier New" w:hAnsi="Courier New"/>
          <w:sz w:val="16"/>
          <w:szCs w:val="16"/>
          <w:color w:val="auto"/>
        </w:rPr>
        <w:t>The aviation fueling segment's income from operations was $5,709,000 for the six months ended September 30, 1996, a decrease of $1,269,000, or 18.2%, as compared to the six months ended September 30, 1995. This resulted from an increase in operating expenses, principally in the provision for bad debts, partially offset by an increase in the volume of product sold. The Company's aviation fueling segment also earned $880,000 from its joint venture during the six months ended September 30, 1996, as compared to $856,000 during the same period of the prior year. The results of the joint venture are shown in other income. The marine fueling segment earned $2,212,000 in income from operations for the six months ended September 30, 1996, an increase of</w:t>
      </w:r>
    </w:p>
    <w:p>
      <w:pPr>
        <w:spacing w:after="0" w:line="38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11 of 18</w:t>
      </w:r>
    </w:p>
    <w:p>
      <w:pPr>
        <w:sectPr>
          <w:pgSz w:w="11900" w:h="16838" w:orient="portrait"/>
          <w:cols w:equalWidth="0" w:num="1">
            <w:col w:w="10219"/>
          </w:cols>
          <w:pgMar w:left="240" w:top="723" w:right="1440" w:bottom="1440"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$759,000, or 52.2% over the corresponding period of the prior year. This increase was related primarily to an increase in the average gross profit per metric ton, partially offset by a decrease in the volume of metric tons brokered and higher operating expenses. Income from operations of the oil recycling segment increased by $1,335,000, or 90.7%, for the six months ended September 30, 1996, as compared to the same period of the prior year. This improvement resulted from an increase in volume and the average gross profit per recycled oil gallon sold.</w:t>
      </w:r>
    </w:p>
    <w:p>
      <w:pPr>
        <w:spacing w:after="0" w:line="212" w:lineRule="exact"/>
        <w:rPr>
          <w:sz w:val="20"/>
          <w:szCs w:val="20"/>
          <w:color w:val="auto"/>
        </w:rPr>
      </w:pPr>
    </w:p>
    <w:p>
      <w:pPr>
        <w:ind w:right="1999" w:firstLine="737"/>
        <w:spacing w:after="0" w:line="273" w:lineRule="auto"/>
        <w:rPr>
          <w:sz w:val="20"/>
          <w:szCs w:val="20"/>
          <w:color w:val="auto"/>
        </w:rPr>
      </w:pPr>
      <w:r>
        <w:rPr>
          <w:rFonts w:ascii="Courier New" w:cs="Courier New" w:eastAsia="Courier New" w:hAnsi="Courier New"/>
          <w:sz w:val="16"/>
          <w:szCs w:val="16"/>
          <w:color w:val="auto"/>
        </w:rPr>
        <w:t>Corporate overhead costs not charged to the business segments totaled $2,461,000 for the six months ended September 30, 1996, a decrease of $36,000, or 1.4%, as compared to the same period of the prior year. In relation to revenue, total corporate overhead decreased to 0.7% for the six months ended September 30, 1996, as compared to 0.9% for the same period of the prior year.</w:t>
      </w:r>
    </w:p>
    <w:p>
      <w:pPr>
        <w:spacing w:after="0" w:line="185"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The Company's effective income tax rate for the six months ended September 30, 1996 was 32.0%, as compared to 36.8% for the same period of the prior year. The decrease is the result of an overall decline in foreign income taxes.</w:t>
      </w:r>
    </w:p>
    <w:p>
      <w:pPr>
        <w:spacing w:after="0" w:line="207"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Net income for the six months ended September 30, 1996 was $6,357,000, an increase of $l,l57,000, or 22.3%, as compared to net income for the six months ended September 30, 1995. Earnings per share of $0.78 for the six months ended September 30, 1996 exhibited a $0.13, or 20.0% increase over the $0.65 achieved during the same period of the prior year.</w:t>
      </w:r>
    </w:p>
    <w:p>
      <w:pPr>
        <w:spacing w:after="0" w:line="200" w:lineRule="exact"/>
        <w:rPr>
          <w:sz w:val="20"/>
          <w:szCs w:val="20"/>
          <w:color w:val="auto"/>
        </w:rPr>
      </w:pPr>
    </w:p>
    <w:p>
      <w:pPr>
        <w:spacing w:after="0" w:line="211"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THREE MONTHS ENDED SEPTEMBER 30, 1996 COMPARED TO THE THREE MONTHS ENDED SEPTEMBER 30, 1995</w:t>
      </w:r>
    </w:p>
    <w:p>
      <w:pPr>
        <w:spacing w:after="0" w:line="208" w:lineRule="exact"/>
        <w:rPr>
          <w:sz w:val="20"/>
          <w:szCs w:val="20"/>
          <w:color w:val="auto"/>
        </w:rPr>
      </w:pPr>
    </w:p>
    <w:p>
      <w:pPr>
        <w:ind w:right="1999" w:firstLine="737"/>
        <w:spacing w:after="0" w:line="275" w:lineRule="auto"/>
        <w:rPr>
          <w:sz w:val="20"/>
          <w:szCs w:val="20"/>
          <w:color w:val="auto"/>
        </w:rPr>
      </w:pPr>
      <w:r>
        <w:rPr>
          <w:rFonts w:ascii="Courier New" w:cs="Courier New" w:eastAsia="Courier New" w:hAnsi="Courier New"/>
          <w:sz w:val="16"/>
          <w:szCs w:val="16"/>
          <w:color w:val="auto"/>
        </w:rPr>
        <w:t>The Company's revenue for the three months ended September 30, 1996 was $180,349,000, an increase of $34,691,000, or 23.8%, as compared to revenue of $145,658,000 of the corresponding period of the prior year. The Company's revenue during these periods was attributable to the following segments:</w:t>
      </w:r>
    </w:p>
    <w:p>
      <w:pPr>
        <w:spacing w:after="0" w:line="177"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260" w:type="dxa"/>
            <w:vAlign w:val="bottom"/>
          </w:tcPr>
          <w:p>
            <w:pPr>
              <w:spacing w:after="0"/>
              <w:rPr>
                <w:sz w:val="17"/>
                <w:szCs w:val="17"/>
                <w:color w:val="auto"/>
              </w:rPr>
            </w:pPr>
          </w:p>
        </w:tc>
        <w:tc>
          <w:tcPr>
            <w:tcW w:w="4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THREE MONTHS ENDED SEPTEMBER 30,</w:t>
            </w:r>
          </w:p>
        </w:tc>
      </w:tr>
      <w:tr>
        <w:trPr>
          <w:trHeight w:val="203"/>
        </w:trPr>
        <w:tc>
          <w:tcPr>
            <w:tcW w:w="2260" w:type="dxa"/>
            <w:vAlign w:val="bottom"/>
          </w:tcPr>
          <w:p>
            <w:pPr>
              <w:spacing w:after="0"/>
              <w:rPr>
                <w:sz w:val="17"/>
                <w:szCs w:val="17"/>
                <w:color w:val="auto"/>
              </w:rPr>
            </w:pPr>
          </w:p>
        </w:tc>
        <w:tc>
          <w:tcPr>
            <w:tcW w:w="24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1996</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260" w:type="dxa"/>
            <w:vAlign w:val="bottom"/>
          </w:tcPr>
          <w:p>
            <w:pPr>
              <w:spacing w:after="0"/>
              <w:rPr>
                <w:sz w:val="17"/>
                <w:szCs w:val="17"/>
                <w:color w:val="auto"/>
              </w:rPr>
            </w:pPr>
          </w:p>
        </w:tc>
        <w:tc>
          <w:tcPr>
            <w:tcW w:w="2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60" w:type="dxa"/>
            <w:vAlign w:val="bottom"/>
          </w:tcPr>
          <w:p>
            <w:pPr>
              <w:spacing w:after="0"/>
              <w:rPr>
                <w:sz w:val="20"/>
                <w:szCs w:val="20"/>
                <w:color w:val="auto"/>
              </w:rPr>
            </w:pPr>
            <w:r>
              <w:rPr>
                <w:rFonts w:ascii="Courier New" w:cs="Courier New" w:eastAsia="Courier New" w:hAnsi="Courier New"/>
                <w:sz w:val="18"/>
                <w:szCs w:val="18"/>
                <w:color w:val="auto"/>
              </w:rPr>
              <w:t>Aviation Fueling</w:t>
            </w:r>
          </w:p>
        </w:tc>
        <w:tc>
          <w:tcPr>
            <w:tcW w:w="2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90,50l,000</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$ 73,539,000</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2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83,790,000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67,849,000</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Oil Recycling</w:t>
            </w:r>
          </w:p>
        </w:tc>
        <w:tc>
          <w:tcPr>
            <w:tcW w:w="2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6,058,000</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4,270,000</w:t>
            </w:r>
          </w:p>
        </w:tc>
      </w:tr>
      <w:tr>
        <w:trPr>
          <w:trHeight w:val="203"/>
        </w:trPr>
        <w:tc>
          <w:tcPr>
            <w:tcW w:w="2260" w:type="dxa"/>
            <w:vAlign w:val="bottom"/>
          </w:tcPr>
          <w:p>
            <w:pPr>
              <w:spacing w:after="0"/>
              <w:rPr>
                <w:sz w:val="17"/>
                <w:szCs w:val="17"/>
                <w:color w:val="auto"/>
              </w:rPr>
            </w:pPr>
          </w:p>
        </w:tc>
        <w:tc>
          <w:tcPr>
            <w:tcW w:w="2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60" w:type="dxa"/>
            <w:vAlign w:val="bottom"/>
          </w:tcPr>
          <w:p>
            <w:pPr>
              <w:spacing w:after="0"/>
              <w:rPr>
                <w:sz w:val="20"/>
                <w:szCs w:val="20"/>
                <w:color w:val="auto"/>
              </w:rPr>
            </w:pPr>
            <w:r>
              <w:rPr>
                <w:rFonts w:ascii="Courier New" w:cs="Courier New" w:eastAsia="Courier New" w:hAnsi="Courier New"/>
                <w:sz w:val="18"/>
                <w:szCs w:val="18"/>
                <w:color w:val="auto"/>
              </w:rPr>
              <w:t>Total Revenue</w:t>
            </w:r>
          </w:p>
        </w:tc>
        <w:tc>
          <w:tcPr>
            <w:tcW w:w="2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$ 180,349,000</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$145,658,000</w:t>
            </w:r>
          </w:p>
        </w:tc>
      </w:tr>
      <w:tr>
        <w:trPr>
          <w:trHeight w:val="203"/>
        </w:trPr>
        <w:tc>
          <w:tcPr>
            <w:tcW w:w="2260" w:type="dxa"/>
            <w:vAlign w:val="bottom"/>
          </w:tcPr>
          <w:p>
            <w:pPr>
              <w:spacing w:after="0"/>
              <w:rPr>
                <w:sz w:val="17"/>
                <w:szCs w:val="17"/>
                <w:color w:val="auto"/>
              </w:rPr>
            </w:pPr>
          </w:p>
        </w:tc>
        <w:tc>
          <w:tcPr>
            <w:tcW w:w="2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12 of 18</w:t>
      </w:r>
    </w:p>
    <w:p>
      <w:pPr>
        <w:sectPr>
          <w:pgSz w:w="11900" w:h="16838" w:orient="portrait"/>
          <w:cols w:equalWidth="0" w:num="1">
            <w:col w:w="10219"/>
          </w:cols>
          <w:pgMar w:left="240" w:top="723" w:right="1440" w:bottom="1440" w:gutter="0" w:footer="0" w:header="0"/>
        </w:sectPr>
      </w:pPr>
    </w:p>
    <w:bookmarkStart w:id="11" w:name="page12"/>
    <w:bookmarkEnd w:id="11"/>
    <w:p>
      <w:pPr>
        <w:ind w:right="1779"/>
        <w:spacing w:after="0" w:line="238" w:lineRule="auto"/>
        <w:rPr>
          <w:sz w:val="20"/>
          <w:szCs w:val="20"/>
          <w:color w:val="auto"/>
        </w:rPr>
      </w:pPr>
      <w:r>
        <w:rPr>
          <w:rFonts w:ascii="Courier New" w:cs="Courier New" w:eastAsia="Courier New" w:hAnsi="Courier New"/>
          <w:sz w:val="18"/>
          <w:szCs w:val="18"/>
          <w:color w:val="auto"/>
        </w:rPr>
        <w:t>The aviation fueling segment contributed $90,501,000 in revenue for the three months ended September 30, 1996. This represented an increase in revenue of $16,962,000, or 23.1%, as compared to the same period of the prior year. The increase in revenue was due to an increase in volume and the average price per gallon sold. The marine fueling segment contributed $83,790,000 in revenue for the three months ended September 30, 1996, an increase of $15,941,000, or 23,5%, over the corresponding period of the prior year. The increase in revenue was related to increases in volume traded and the average price per metric ton, partially offset by a decrease in volume brokered. The oil recycling segment contributed $6,058,000 in revenue for the three months ended September 30, 1996, an increase of $1,788,000, or 41.9%, as compared to the same period of the prior year. The increase in revenue was due to an increase in volume and the average sales price per gallon of recycled oil sold, and higher used oil and waste water collection revenue.</w:t>
      </w:r>
    </w:p>
    <w:p>
      <w:pPr>
        <w:spacing w:after="0" w:line="208"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The Company's gross profit of $11,626,000 for the three months ended September 30, 1996, increased $1,715,000, or 17.3%, as compared to the same period of the prior year. The Company's gross margin decreased from 6.8% for the three months ended September 30, 1995, to 6.4% for the three months ended September 30, 1996.</w:t>
      </w:r>
    </w:p>
    <w:p>
      <w:pPr>
        <w:spacing w:after="0" w:line="209"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The Company's aviation fueling business achieved a 6.4% gross margin for the three months ended September 30, 1996, as compared to 7.3% achieved for the same period during the prior year. This resulted from an increase in the average sales price per gallon, despite a slight increase in the average gross profit per gallon. The Company's marine fueling segment achieved a 4.5% gross margin for the three months ended September 30, 1996, as compared to a 4.6% gross margin for the same period of the prior year. This resulted from an increase in the average sales price per metric ton over the same period of the prior year, despite an increase in the average gross profit per metric ton. The gross margin in the Company's oil recycling segment increased from 33.9% for the three months ended September 30, 1995, to 34.6%, for the three months ended September 30, 1996. The increase in the gross margin resulted from an increase in the gross profit per gallon of recycled oil sold.</w:t>
      </w:r>
    </w:p>
    <w:p>
      <w:pPr>
        <w:spacing w:after="0" w:line="20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Total operating expenses for the three months ended September 30, 1996 were $7,696,000, an increase of $1,529,000, or 24.8%, as compared to the same period of the prior year. The increase resulted from a higher provision for bad debts, as well as higher salaries related to performance based employment contracts, higher legal and professional fees, and the expenses associated with the newly established Costa Rican operations. In relation to revenue, total operating expenses increased from 4.2% to 4.3%.</w:t>
      </w: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13 of 18</w:t>
      </w:r>
    </w:p>
    <w:p>
      <w:pPr>
        <w:sectPr>
          <w:pgSz w:w="11900" w:h="16838" w:orient="portrait"/>
          <w:cols w:equalWidth="0" w:num="1">
            <w:col w:w="10219"/>
          </w:cols>
          <w:pgMar w:left="240" w:top="925" w:right="1440" w:bottom="1440" w:gutter="0" w:footer="0" w:header="0"/>
        </w:sectPr>
      </w:pPr>
    </w:p>
    <w:bookmarkStart w:id="12" w:name="page13"/>
    <w:bookmarkEnd w:id="12"/>
    <w:p>
      <w:pPr>
        <w:ind w:left="740"/>
        <w:spacing w:after="0"/>
        <w:rPr>
          <w:sz w:val="20"/>
          <w:szCs w:val="20"/>
          <w:color w:val="auto"/>
        </w:rPr>
      </w:pPr>
      <w:r>
        <w:rPr>
          <w:rFonts w:ascii="Courier New" w:cs="Courier New" w:eastAsia="Courier New" w:hAnsi="Courier New"/>
          <w:sz w:val="18"/>
          <w:szCs w:val="18"/>
          <w:color w:val="auto"/>
        </w:rPr>
        <w:t>The Company's income from operations for the three months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1996 was $3,930,000, an increase of $186,000, or 5.0%, as compared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same period of the prior year. Income from operations during these</w:t>
      </w:r>
    </w:p>
    <w:p>
      <w:pPr>
        <w:spacing w:after="0" w:line="238" w:lineRule="auto"/>
        <w:rPr>
          <w:sz w:val="20"/>
          <w:szCs w:val="20"/>
          <w:color w:val="auto"/>
        </w:rPr>
      </w:pPr>
      <w:r>
        <w:rPr>
          <w:rFonts w:ascii="Courier New" w:cs="Courier New" w:eastAsia="Courier New" w:hAnsi="Courier New"/>
          <w:sz w:val="18"/>
          <w:szCs w:val="18"/>
          <w:color w:val="auto"/>
        </w:rPr>
        <w:t>periods was attributable to the following segments:</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4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THREE MONTHS ENDED SEPTEMBER 30,</w:t>
            </w:r>
          </w:p>
        </w:tc>
      </w:tr>
      <w:tr>
        <w:trPr>
          <w:trHeight w:val="203"/>
        </w:trPr>
        <w:tc>
          <w:tcPr>
            <w:tcW w:w="2540" w:type="dxa"/>
            <w:vAlign w:val="bottom"/>
          </w:tcPr>
          <w:p>
            <w:pPr>
              <w:spacing w:after="0"/>
              <w:rPr>
                <w:sz w:val="17"/>
                <w:szCs w:val="17"/>
                <w:color w:val="auto"/>
              </w:rPr>
            </w:pPr>
          </w:p>
        </w:tc>
        <w:tc>
          <w:tcPr>
            <w:tcW w:w="23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1996</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540" w:type="dxa"/>
            <w:vAlign w:val="bottom"/>
          </w:tcPr>
          <w:p>
            <w:pPr>
              <w:spacing w:after="0"/>
              <w:rPr>
                <w:sz w:val="17"/>
                <w:szCs w:val="17"/>
                <w:color w:val="auto"/>
              </w:rPr>
            </w:pPr>
          </w:p>
        </w:tc>
        <w:tc>
          <w:tcPr>
            <w:tcW w:w="2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Aviation Fueling</w:t>
            </w:r>
          </w:p>
        </w:tc>
        <w:tc>
          <w:tcPr>
            <w:tcW w:w="2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$ 2,616,000</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$ 3,479,000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2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1,194,000</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775,000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Oil Recycling</w:t>
            </w:r>
          </w:p>
        </w:tc>
        <w:tc>
          <w:tcPr>
            <w:tcW w:w="2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1,459,000</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910,000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Overhead</w:t>
            </w:r>
          </w:p>
        </w:tc>
        <w:tc>
          <w:tcPr>
            <w:tcW w:w="2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(1,339,000)</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(1,420,000)</w:t>
            </w:r>
          </w:p>
        </w:tc>
      </w:tr>
      <w:tr>
        <w:trPr>
          <w:trHeight w:val="203"/>
        </w:trPr>
        <w:tc>
          <w:tcPr>
            <w:tcW w:w="2540" w:type="dxa"/>
            <w:vAlign w:val="bottom"/>
          </w:tcPr>
          <w:p>
            <w:pPr>
              <w:spacing w:after="0"/>
              <w:rPr>
                <w:sz w:val="17"/>
                <w:szCs w:val="17"/>
                <w:color w:val="auto"/>
              </w:rPr>
            </w:pPr>
          </w:p>
        </w:tc>
        <w:tc>
          <w:tcPr>
            <w:tcW w:w="2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Total Income from</w:t>
            </w:r>
          </w:p>
        </w:tc>
        <w:tc>
          <w:tcPr>
            <w:tcW w:w="23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Operations</w:t>
            </w:r>
          </w:p>
        </w:tc>
        <w:tc>
          <w:tcPr>
            <w:tcW w:w="2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$ 3,930,000</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$ 3,744,000</w:t>
            </w:r>
          </w:p>
        </w:tc>
      </w:tr>
      <w:tr>
        <w:trPr>
          <w:trHeight w:val="203"/>
        </w:trPr>
        <w:tc>
          <w:tcPr>
            <w:tcW w:w="2540" w:type="dxa"/>
            <w:vAlign w:val="bottom"/>
          </w:tcPr>
          <w:p>
            <w:pPr>
              <w:spacing w:after="0"/>
              <w:rPr>
                <w:sz w:val="17"/>
                <w:szCs w:val="17"/>
                <w:color w:val="auto"/>
              </w:rPr>
            </w:pPr>
          </w:p>
        </w:tc>
        <w:tc>
          <w:tcPr>
            <w:tcW w:w="2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The aviation fueling segment's income from operations was $2,616,000 for the three months ended September 30, 1996, a decrease of $863,000, or 24.8% as compared to the three months ended September 30, 1995. This resulted from an increase in operating expenses, principally in the provision for bad debts, partially offset by an increase in the volume and the average gross profit per gallon. The Company's aviation fueling segment also earned $471,000 from its joint venture during the three months ended September 30, 1996, as compared to $479,OOO during the same period of the prior year. The results of the joint venture are shown in other income. The marine fueling segment earned $1,194,000 in income from operations for the three months ended September 30, 1996, an increase of $419,000, or 54.1% over the corresponding period of the prior year. This increase was related primarily to an increase in the average gross profit per metric ton, partially offset by higher operating expenses. Income from operations of the oil recycling segment increased by $549,000, or 60.3%, for the three months ended September 30, 1996, as compared to the same period of the prior year. This improvement resulted from an increase in volume and the average gross profit per recycled oil gallon sold, partially offset by an increase in operating expenses.</w:t>
      </w: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Corporate overhead costs not charged to the business segments totaled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$1,339,000 for the three months ended September 30, 1996, a decrease of $81,000,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5.7%, as compared to the same period of the prior year. In relation to</w:t>
      </w:r>
    </w:p>
    <w:p>
      <w:pPr>
        <w:spacing w:after="0" w:line="238" w:lineRule="auto"/>
        <w:rPr>
          <w:sz w:val="20"/>
          <w:szCs w:val="20"/>
          <w:color w:val="auto"/>
        </w:rPr>
      </w:pPr>
      <w:r>
        <w:rPr>
          <w:rFonts w:ascii="Courier New" w:cs="Courier New" w:eastAsia="Courier New" w:hAnsi="Courier New"/>
          <w:sz w:val="18"/>
          <w:szCs w:val="18"/>
          <w:color w:val="auto"/>
        </w:rPr>
        <w:t>revenue, total corporate overhead decreased to 0.7% for the three months ended</w:t>
      </w:r>
    </w:p>
    <w:p>
      <w:pPr>
        <w:spacing w:after="0"/>
        <w:rPr>
          <w:sz w:val="20"/>
          <w:szCs w:val="20"/>
          <w:color w:val="auto"/>
        </w:rPr>
      </w:pPr>
      <w:r>
        <w:rPr>
          <w:rFonts w:ascii="Courier New" w:cs="Courier New" w:eastAsia="Courier New" w:hAnsi="Courier New"/>
          <w:sz w:val="18"/>
          <w:szCs w:val="18"/>
          <w:color w:val="auto"/>
        </w:rPr>
        <w:t>September 30, 1996, as compared to 1.0% for the same period of the prior year.</w:t>
      </w:r>
    </w:p>
    <w:p>
      <w:pPr>
        <w:spacing w:after="0" w:line="206"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The Company's effective income tax rate for the three months ended September 30, 1996 was 29.5%, as compared to 36.5% for the same period of the prior year. The decrease is the result of an overall decline in foreign income taxes.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14 of 18</w:t>
      </w:r>
    </w:p>
    <w:p>
      <w:pPr>
        <w:sectPr>
          <w:pgSz w:w="11900" w:h="16838" w:orient="portrait"/>
          <w:cols w:equalWidth="0" w:num="1">
            <w:col w:w="10219"/>
          </w:cols>
          <w:pgMar w:left="240" w:top="717" w:right="1440" w:bottom="1440" w:gutter="0" w:footer="0" w:header="0"/>
        </w:sectPr>
      </w:pPr>
    </w:p>
    <w:bookmarkStart w:id="13" w:name="page14"/>
    <w:bookmarkEnd w:id="13"/>
    <w:p>
      <w:pPr>
        <w:ind w:right="1879" w:firstLine="737"/>
        <w:spacing w:after="0" w:line="237" w:lineRule="auto"/>
        <w:rPr>
          <w:sz w:val="20"/>
          <w:szCs w:val="20"/>
          <w:color w:val="auto"/>
        </w:rPr>
      </w:pPr>
      <w:r>
        <w:rPr>
          <w:rFonts w:ascii="Courier New" w:cs="Courier New" w:eastAsia="Courier New" w:hAnsi="Courier New"/>
          <w:sz w:val="18"/>
          <w:szCs w:val="18"/>
          <w:color w:val="auto"/>
        </w:rPr>
        <w:t>Net income for the three months ended September 30, 1996 was $3,253,000, an increase of $598,000, or 22.5%, as compared to net income for the three months ended September 30, 1995. Earnings per share of $0.40 for the three months ended September 30, 1996 exhibited a $.07, or 21.2% increase over the $0.33 achieved during the same period of the prior year.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Cash and cash equivalents amounted to $15,577,000 at September 30, 1996, as compared to $12,856,000 at March 31, 1996. The principal sources of cash for the first six months of fiscal year 1997 were $5,251,000 in net cash provided by operating activities and $278,000 from collections on notes receivable. Partially offsetting the increase in cash and cash equivalents was $1,534,000 for capital expenditures and $1,005,000 in dividends paid on common stock. Other components of changes in cash and cash equivalents are detailed in the Consolidated Statements of Cash Flows.</w:t>
      </w:r>
    </w:p>
    <w:p>
      <w:pPr>
        <w:spacing w:after="0" w:line="212" w:lineRule="exact"/>
        <w:rPr>
          <w:sz w:val="20"/>
          <w:szCs w:val="20"/>
          <w:color w:val="auto"/>
        </w:rPr>
      </w:pPr>
    </w:p>
    <w:p>
      <w:pPr>
        <w:ind w:right="1879" w:firstLine="737"/>
        <w:spacing w:after="0" w:line="270" w:lineRule="auto"/>
        <w:rPr>
          <w:sz w:val="20"/>
          <w:szCs w:val="20"/>
          <w:color w:val="auto"/>
        </w:rPr>
      </w:pPr>
      <w:r>
        <w:rPr>
          <w:rFonts w:ascii="Courier New" w:cs="Courier New" w:eastAsia="Courier New" w:hAnsi="Courier New"/>
          <w:sz w:val="16"/>
          <w:szCs w:val="16"/>
          <w:color w:val="auto"/>
        </w:rPr>
        <w:t>Working capital as of September 30, 1996 was $45,087,000, exhibiting a $5,541,000 increase from working capital as of March 31, 1996. As of September 30, 1996, the Company's accounts receivable, excluding the allowance for bad debts, amounted to $66,085,000, a decrease of $1,023,000, as compared to the March 31, 1996 balance. In the aggregate, accounts payable, accrued expenses, and customer deposits increased $1,185,000. The net decrease in trade credit of $2,208,000 was primarilly attributable to the aviation segment. The allowance for bad debts as of September 30, 1996 amounted to $4,400,000, an increase of $37,000 compared to the March 31, 1996 balance. During the first six months of fiscal year 1997, the Company recorded a $2,534,000 provision for bad debts and had charge-offs in excess of recoveries of $2,496,000. The provision and charge-offs are primarily related to the Company's aviation segment.</w:t>
      </w:r>
    </w:p>
    <w:p>
      <w:pPr>
        <w:spacing w:after="0" w:line="18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Prepaid and other current assets as of September 30, 1996 were</w:t>
      </w:r>
    </w:p>
    <w:p>
      <w:pPr>
        <w:spacing w:after="0" w:line="238" w:lineRule="auto"/>
        <w:rPr>
          <w:sz w:val="20"/>
          <w:szCs w:val="20"/>
          <w:color w:val="auto"/>
        </w:rPr>
      </w:pPr>
      <w:r>
        <w:rPr>
          <w:rFonts w:ascii="Courier New" w:cs="Courier New" w:eastAsia="Courier New" w:hAnsi="Courier New"/>
          <w:sz w:val="18"/>
          <w:szCs w:val="18"/>
          <w:color w:val="auto"/>
        </w:rPr>
        <w:t>$7,663,000, exhibiting an increase of $4,604,000 over the March 31, 1996</w:t>
      </w:r>
    </w:p>
    <w:p>
      <w:pPr>
        <w:spacing w:after="0"/>
        <w:rPr>
          <w:sz w:val="20"/>
          <w:szCs w:val="20"/>
          <w:color w:val="auto"/>
        </w:rPr>
      </w:pPr>
      <w:r>
        <w:rPr>
          <w:rFonts w:ascii="Courier New" w:cs="Courier New" w:eastAsia="Courier New" w:hAnsi="Courier New"/>
          <w:sz w:val="18"/>
          <w:szCs w:val="18"/>
          <w:color w:val="auto"/>
        </w:rPr>
        <w:t>balance. This is partially related to an increase in prepaid fuel, prepaid</w:t>
      </w:r>
    </w:p>
    <w:p>
      <w:pPr>
        <w:spacing w:after="0" w:line="237" w:lineRule="auto"/>
        <w:rPr>
          <w:sz w:val="20"/>
          <w:szCs w:val="20"/>
          <w:color w:val="auto"/>
        </w:rPr>
      </w:pPr>
      <w:r>
        <w:rPr>
          <w:rFonts w:ascii="Courier New" w:cs="Courier New" w:eastAsia="Courier New" w:hAnsi="Courier New"/>
          <w:sz w:val="18"/>
          <w:szCs w:val="18"/>
          <w:color w:val="auto"/>
        </w:rPr>
        <w:t>insurance, and deposits collectively totaling $2,224,000. In addition, during</w:t>
      </w:r>
    </w:p>
    <w:p>
      <w:pPr>
        <w:spacing w:after="0" w:line="238" w:lineRule="auto"/>
        <w:rPr>
          <w:sz w:val="20"/>
          <w:szCs w:val="20"/>
          <w:color w:val="auto"/>
        </w:rPr>
      </w:pPr>
      <w:r>
        <w:rPr>
          <w:rFonts w:ascii="Courier New" w:cs="Courier New" w:eastAsia="Courier New" w:hAnsi="Courier New"/>
          <w:sz w:val="18"/>
          <w:szCs w:val="18"/>
          <w:color w:val="auto"/>
        </w:rPr>
        <w:t>fiscal year 1997, accounts receivable totaling $1,218,000 were converted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short-term notes receivable and the Company reclassified $749,000 related to its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aviation joint venture investment, which was previously classified as</w:t>
      </w:r>
    </w:p>
    <w:p>
      <w:pPr>
        <w:spacing w:after="0" w:line="238" w:lineRule="auto"/>
        <w:rPr>
          <w:sz w:val="20"/>
          <w:szCs w:val="20"/>
          <w:color w:val="auto"/>
        </w:rPr>
      </w:pPr>
      <w:r>
        <w:rPr>
          <w:rFonts w:ascii="Courier New" w:cs="Courier New" w:eastAsia="Courier New" w:hAnsi="Courier New"/>
          <w:sz w:val="18"/>
          <w:szCs w:val="18"/>
          <w:color w:val="auto"/>
        </w:rPr>
        <w:t>noncurrent, to other current assets.</w:t>
      </w:r>
    </w:p>
    <w:p>
      <w:pPr>
        <w:spacing w:after="0" w:line="207" w:lineRule="exact"/>
        <w:rPr>
          <w:sz w:val="20"/>
          <w:szCs w:val="20"/>
          <w:color w:val="auto"/>
        </w:rPr>
      </w:pPr>
    </w:p>
    <w:p>
      <w:pPr>
        <w:ind w:right="1779" w:firstLine="737"/>
        <w:spacing w:after="0" w:line="271" w:lineRule="auto"/>
        <w:rPr>
          <w:sz w:val="20"/>
          <w:szCs w:val="20"/>
          <w:color w:val="auto"/>
        </w:rPr>
      </w:pPr>
      <w:r>
        <w:rPr>
          <w:rFonts w:ascii="Courier New" w:cs="Courier New" w:eastAsia="Courier New" w:hAnsi="Courier New"/>
          <w:sz w:val="16"/>
          <w:szCs w:val="16"/>
          <w:color w:val="auto"/>
        </w:rPr>
        <w:t>Capital expenditures, which amounted to $1,534,000 for the first six months of fiscal year 1997, consisted primarily of $384,000 in computer and office equipment, $451,000 in plant, machinery and equipment, and $649,000 in construction in progress to increase the storage capacity at the Company's Louisiana used oil facility. During the balance of fiscal year 1997, the Company anticipates spending approximately $500,000 to upgrade plant, machinery and equipment. The Company also anticipates spending an estimated $1,000,000 over the next several years to clean up contamination which was present at one of the</w:t>
      </w:r>
    </w:p>
    <w:p>
      <w:pPr>
        <w:spacing w:after="0" w:line="18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15 of 18</w:t>
      </w:r>
    </w:p>
    <w:p>
      <w:pPr>
        <w:sectPr>
          <w:pgSz w:w="11900" w:h="16838" w:orient="portrait"/>
          <w:cols w:equalWidth="0" w:num="1">
            <w:col w:w="10219"/>
          </w:cols>
          <w:pgMar w:left="240" w:top="723" w:right="1440" w:bottom="1440" w:gutter="0" w:footer="0" w:header="0"/>
        </w:sectPr>
      </w:pPr>
    </w:p>
    <w:bookmarkStart w:id="14" w:name="page15"/>
    <w:bookmarkEnd w:id="14"/>
    <w:p>
      <w:pPr>
        <w:jc w:val="both"/>
        <w:ind w:right="1879"/>
        <w:spacing w:after="0" w:line="236" w:lineRule="auto"/>
        <w:rPr>
          <w:sz w:val="20"/>
          <w:szCs w:val="20"/>
          <w:color w:val="auto"/>
        </w:rPr>
      </w:pPr>
      <w:r>
        <w:rPr>
          <w:rFonts w:ascii="Courier New" w:cs="Courier New" w:eastAsia="Courier New" w:hAnsi="Courier New"/>
          <w:sz w:val="18"/>
          <w:szCs w:val="18"/>
          <w:color w:val="auto"/>
        </w:rPr>
        <w:t>company's sites when it was acquired by the Company. The clean up costs will be capitalized as part of the cost of the site, up to the fair market value of the site.</w:t>
      </w:r>
    </w:p>
    <w:p>
      <w:pPr>
        <w:spacing w:after="0" w:line="209"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The Company's working capital requirements are not expected to vary substantially for the balance of fiscal year 1997. The Company expects to meet its cash requirements for the balance of fiscal year 1997 from existing cash, operations, and additional borrowings, as necessary, under its existing credit facility. The Company's business has not been significantly affected by inflation during the periods discussed in this report.</w:t>
      </w: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16 of 18</w:t>
      </w:r>
    </w:p>
    <w:p>
      <w:pPr>
        <w:sectPr>
          <w:pgSz w:w="11900" w:h="16838" w:orient="portrait"/>
          <w:cols w:equalWidth="0" w:num="1">
            <w:col w:w="10219"/>
          </w:cols>
          <w:pgMar w:left="240" w:top="723"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6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PART II. OTHER INFORMATION</w:t>
            </w:r>
          </w:p>
        </w:tc>
        <w:tc>
          <w:tcPr>
            <w:tcW w:w="1580" w:type="dxa"/>
            <w:vAlign w:val="bottom"/>
          </w:tcPr>
          <w:p>
            <w:pPr>
              <w:spacing w:after="0"/>
              <w:rPr>
                <w:sz w:val="17"/>
                <w:szCs w:val="17"/>
                <w:color w:val="auto"/>
              </w:rPr>
            </w:pPr>
          </w:p>
        </w:tc>
      </w:tr>
      <w:tr>
        <w:trPr>
          <w:trHeight w:val="608"/>
        </w:trPr>
        <w:tc>
          <w:tcPr>
            <w:tcW w:w="94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LEGAL PROCEEDINGS</w:t>
            </w: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9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w w:val="92"/>
              </w:rPr>
              <w:t>None</w:t>
            </w:r>
          </w:p>
        </w:tc>
        <w:tc>
          <w:tcPr>
            <w:tcW w:w="3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CHANGES IN SECURITIES</w:t>
            </w: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9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w w:val="92"/>
              </w:rPr>
              <w:t>None</w:t>
            </w:r>
          </w:p>
        </w:tc>
        <w:tc>
          <w:tcPr>
            <w:tcW w:w="3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DEFAULTS UPON SENIOR SECURITIES</w:t>
            </w: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9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w w:val="92"/>
              </w:rPr>
              <w:t>None</w:t>
            </w:r>
          </w:p>
        </w:tc>
        <w:tc>
          <w:tcPr>
            <w:tcW w:w="3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570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SUBMISSION OF MATTERS TO A VOTE OF SECURITY HOLDERS</w:t>
            </w:r>
          </w:p>
        </w:tc>
        <w:tc>
          <w:tcPr>
            <w:tcW w:w="1580" w:type="dxa"/>
            <w:vAlign w:val="bottom"/>
          </w:tcPr>
          <w:p>
            <w:pPr>
              <w:spacing w:after="0"/>
              <w:rPr>
                <w:sz w:val="24"/>
                <w:szCs w:val="24"/>
                <w:color w:val="auto"/>
              </w:rPr>
            </w:pPr>
          </w:p>
        </w:tc>
      </w:tr>
      <w:tr>
        <w:trPr>
          <w:trHeight w:val="405"/>
        </w:trPr>
        <w:tc>
          <w:tcPr>
            <w:tcW w:w="9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The</w:t>
            </w:r>
          </w:p>
        </w:tc>
        <w:tc>
          <w:tcPr>
            <w:tcW w:w="6640" w:type="dxa"/>
            <w:vAlign w:val="bottom"/>
            <w:gridSpan w:val="3"/>
          </w:tcPr>
          <w:p>
            <w:pPr>
              <w:spacing w:after="0"/>
              <w:rPr>
                <w:sz w:val="20"/>
                <w:szCs w:val="20"/>
                <w:color w:val="auto"/>
              </w:rPr>
            </w:pPr>
            <w:r>
              <w:rPr>
                <w:rFonts w:ascii="Courier New" w:cs="Courier New" w:eastAsia="Courier New" w:hAnsi="Courier New"/>
                <w:sz w:val="18"/>
                <w:szCs w:val="18"/>
                <w:color w:val="auto"/>
                <w:w w:val="97"/>
              </w:rPr>
              <w:t>Company's annual meeting of stockholders was held on August 19,</w:t>
            </w:r>
          </w:p>
        </w:tc>
      </w:tr>
      <w:tr>
        <w:trPr>
          <w:trHeight w:val="203"/>
        </w:trPr>
        <w:tc>
          <w:tcPr>
            <w:tcW w:w="94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1996.</w:t>
            </w:r>
          </w:p>
        </w:tc>
        <w:tc>
          <w:tcPr>
            <w:tcW w:w="18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9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The</w:t>
            </w:r>
          </w:p>
        </w:tc>
        <w:tc>
          <w:tcPr>
            <w:tcW w:w="6640" w:type="dxa"/>
            <w:vAlign w:val="bottom"/>
            <w:gridSpan w:val="3"/>
          </w:tcPr>
          <w:p>
            <w:pPr>
              <w:spacing w:after="0"/>
              <w:rPr>
                <w:sz w:val="20"/>
                <w:szCs w:val="20"/>
                <w:color w:val="auto"/>
              </w:rPr>
            </w:pPr>
            <w:r>
              <w:rPr>
                <w:rFonts w:ascii="Courier New" w:cs="Courier New" w:eastAsia="Courier New" w:hAnsi="Courier New"/>
                <w:sz w:val="18"/>
                <w:szCs w:val="18"/>
                <w:color w:val="auto"/>
              </w:rPr>
              <w:t>only matter voted on at the meeting was the election of the</w:t>
            </w:r>
          </w:p>
        </w:tc>
      </w:tr>
      <w:tr>
        <w:trPr>
          <w:trHeight w:val="203"/>
        </w:trPr>
        <w:tc>
          <w:tcPr>
            <w:tcW w:w="940" w:type="dxa"/>
            <w:vAlign w:val="bottom"/>
          </w:tcPr>
          <w:p>
            <w:pPr>
              <w:spacing w:after="0"/>
              <w:rPr>
                <w:sz w:val="17"/>
                <w:szCs w:val="17"/>
                <w:color w:val="auto"/>
              </w:rPr>
            </w:pPr>
          </w:p>
        </w:tc>
        <w:tc>
          <w:tcPr>
            <w:tcW w:w="728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Directors of the Company. All of the Company's director nominees</w:t>
            </w:r>
          </w:p>
        </w:tc>
      </w:tr>
      <w:tr>
        <w:trPr>
          <w:trHeight w:val="203"/>
        </w:trPr>
        <w:tc>
          <w:tcPr>
            <w:tcW w:w="94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were</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elected.</w:t>
            </w:r>
          </w:p>
        </w:tc>
        <w:tc>
          <w:tcPr>
            <w:tcW w:w="18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940" w:type="dxa"/>
            <w:vAlign w:val="bottom"/>
          </w:tcPr>
          <w:p>
            <w:pPr>
              <w:spacing w:after="0"/>
              <w:rPr>
                <w:sz w:val="24"/>
                <w:szCs w:val="24"/>
                <w:color w:val="auto"/>
              </w:rPr>
            </w:pP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ELECTION OF DIRECTORS</w:t>
            </w: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60" w:type="dxa"/>
            <w:vAlign w:val="bottom"/>
          </w:tcPr>
          <w:p>
            <w:pPr>
              <w:ind w:left="100"/>
              <w:spacing w:after="0"/>
              <w:rPr>
                <w:sz w:val="20"/>
                <w:szCs w:val="20"/>
                <w:color w:val="auto"/>
              </w:rPr>
            </w:pPr>
            <w:r>
              <w:rPr>
                <w:rFonts w:ascii="Courier New" w:cs="Courier New" w:eastAsia="Courier New" w:hAnsi="Courier New"/>
                <w:sz w:val="18"/>
                <w:szCs w:val="18"/>
                <w:color w:val="auto"/>
              </w:rPr>
              <w:t>NAME OF DIRECTOR</w:t>
            </w:r>
          </w:p>
        </w:tc>
        <w:tc>
          <w:tcPr>
            <w:tcW w:w="1800" w:type="dxa"/>
            <w:vAlign w:val="bottom"/>
          </w:tcPr>
          <w:p>
            <w:pPr>
              <w:ind w:left="320"/>
              <w:spacing w:after="0"/>
              <w:rPr>
                <w:sz w:val="20"/>
                <w:szCs w:val="20"/>
                <w:color w:val="auto"/>
              </w:rPr>
            </w:pPr>
            <w:r>
              <w:rPr>
                <w:rFonts w:ascii="Courier New" w:cs="Courier New" w:eastAsia="Courier New" w:hAnsi="Courier New"/>
                <w:sz w:val="18"/>
                <w:szCs w:val="18"/>
                <w:color w:val="auto"/>
              </w:rPr>
              <w:t>VOTES FOR</w:t>
            </w: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VOTES AGAINST</w:t>
            </w:r>
          </w:p>
        </w:tc>
      </w:tr>
      <w:tr>
        <w:trPr>
          <w:trHeight w:val="203"/>
        </w:trPr>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940" w:type="dxa"/>
            <w:vAlign w:val="bottom"/>
          </w:tcPr>
          <w:p>
            <w:pPr>
              <w:spacing w:after="0"/>
              <w:rPr>
                <w:sz w:val="17"/>
                <w:szCs w:val="17"/>
                <w:color w:val="auto"/>
              </w:rPr>
            </w:pP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Ralph R. Weiser</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6,757,364</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416,977</w:t>
            </w:r>
          </w:p>
        </w:tc>
      </w:tr>
      <w:tr>
        <w:trPr>
          <w:trHeight w:val="203"/>
        </w:trPr>
        <w:tc>
          <w:tcPr>
            <w:tcW w:w="940" w:type="dxa"/>
            <w:vAlign w:val="bottom"/>
          </w:tcPr>
          <w:p>
            <w:pPr>
              <w:spacing w:after="0"/>
              <w:rPr>
                <w:sz w:val="17"/>
                <w:szCs w:val="17"/>
                <w:color w:val="auto"/>
              </w:rPr>
            </w:pP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Jerrold Blair</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6,762,419</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411,922</w:t>
            </w:r>
          </w:p>
        </w:tc>
      </w:tr>
      <w:tr>
        <w:trPr>
          <w:trHeight w:val="203"/>
        </w:trPr>
        <w:tc>
          <w:tcPr>
            <w:tcW w:w="940" w:type="dxa"/>
            <w:vAlign w:val="bottom"/>
          </w:tcPr>
          <w:p>
            <w:pPr>
              <w:spacing w:after="0"/>
              <w:rPr>
                <w:sz w:val="17"/>
                <w:szCs w:val="17"/>
                <w:color w:val="auto"/>
              </w:rPr>
            </w:pP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Ralph R. Feuerring</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6,947,052</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227,289</w:t>
            </w:r>
          </w:p>
        </w:tc>
      </w:tr>
      <w:tr>
        <w:trPr>
          <w:trHeight w:val="203"/>
        </w:trPr>
        <w:tc>
          <w:tcPr>
            <w:tcW w:w="940" w:type="dxa"/>
            <w:vAlign w:val="bottom"/>
          </w:tcPr>
          <w:p>
            <w:pPr>
              <w:spacing w:after="0"/>
              <w:rPr>
                <w:sz w:val="17"/>
                <w:szCs w:val="17"/>
                <w:color w:val="auto"/>
              </w:rPr>
            </w:pP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John R. Benbow</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6,981,919</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192,422</w:t>
            </w:r>
          </w:p>
        </w:tc>
      </w:tr>
      <w:tr>
        <w:trPr>
          <w:trHeight w:val="203"/>
        </w:trPr>
        <w:tc>
          <w:tcPr>
            <w:tcW w:w="940" w:type="dxa"/>
            <w:vAlign w:val="bottom"/>
          </w:tcPr>
          <w:p>
            <w:pPr>
              <w:spacing w:after="0"/>
              <w:rPr>
                <w:sz w:val="17"/>
                <w:szCs w:val="17"/>
                <w:color w:val="auto"/>
              </w:rPr>
            </w:pP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Phillip S. Bradley</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6,948,303</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226,038</w:t>
            </w:r>
          </w:p>
        </w:tc>
      </w:tr>
      <w:tr>
        <w:trPr>
          <w:trHeight w:val="203"/>
        </w:trPr>
        <w:tc>
          <w:tcPr>
            <w:tcW w:w="940" w:type="dxa"/>
            <w:vAlign w:val="bottom"/>
          </w:tcPr>
          <w:p>
            <w:pPr>
              <w:spacing w:after="0"/>
              <w:rPr>
                <w:sz w:val="17"/>
                <w:szCs w:val="17"/>
                <w:color w:val="auto"/>
              </w:rPr>
            </w:pP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Celestin A. Durand, III</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6,981,469</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192,872</w:t>
            </w:r>
          </w:p>
        </w:tc>
      </w:tr>
      <w:tr>
        <w:trPr>
          <w:trHeight w:val="203"/>
        </w:trPr>
        <w:tc>
          <w:tcPr>
            <w:tcW w:w="940" w:type="dxa"/>
            <w:vAlign w:val="bottom"/>
          </w:tcPr>
          <w:p>
            <w:pPr>
              <w:spacing w:after="0"/>
              <w:rPr>
                <w:sz w:val="17"/>
                <w:szCs w:val="17"/>
                <w:color w:val="auto"/>
              </w:rPr>
            </w:pP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Myles Klein</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6,951,798</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222,543</w:t>
            </w:r>
          </w:p>
        </w:tc>
      </w:tr>
      <w:tr>
        <w:trPr>
          <w:trHeight w:val="203"/>
        </w:trPr>
        <w:tc>
          <w:tcPr>
            <w:tcW w:w="940" w:type="dxa"/>
            <w:vAlign w:val="bottom"/>
          </w:tcPr>
          <w:p>
            <w:pPr>
              <w:spacing w:after="0"/>
              <w:rPr>
                <w:sz w:val="17"/>
                <w:szCs w:val="17"/>
                <w:color w:val="auto"/>
              </w:rPr>
            </w:pP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Michael J. Kasbar</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6,982,919</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191,422</w:t>
            </w:r>
          </w:p>
        </w:tc>
      </w:tr>
      <w:tr>
        <w:trPr>
          <w:trHeight w:val="203"/>
        </w:trPr>
        <w:tc>
          <w:tcPr>
            <w:tcW w:w="940" w:type="dxa"/>
            <w:vAlign w:val="bottom"/>
          </w:tcPr>
          <w:p>
            <w:pPr>
              <w:spacing w:after="0"/>
              <w:rPr>
                <w:sz w:val="17"/>
                <w:szCs w:val="17"/>
                <w:color w:val="auto"/>
              </w:rPr>
            </w:pP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Paul H. Stebbins</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6,982,919</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191,422</w:t>
            </w: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OTHER INFORMATION</w:t>
            </w: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9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w w:val="92"/>
              </w:rPr>
              <w:t>None</w:t>
            </w:r>
          </w:p>
        </w:tc>
        <w:tc>
          <w:tcPr>
            <w:tcW w:w="3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EXHIBITS AND REPORTS ON FORM 8-K</w:t>
            </w: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7" w:lineRule="exact"/>
        <w:rPr>
          <w:sz w:val="20"/>
          <w:szCs w:val="20"/>
          <w:color w:val="auto"/>
        </w:rPr>
      </w:pPr>
    </w:p>
    <w:p>
      <w:pPr>
        <w:ind w:left="1580" w:right="1999" w:hanging="423"/>
        <w:spacing w:after="0" w:line="235" w:lineRule="auto"/>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three months ended September 30, 1996, the Company did not file any reports on Form 8-K.</w:t>
      </w:r>
    </w:p>
    <w:p>
      <w:pPr>
        <w:spacing w:after="0" w:line="202" w:lineRule="exact"/>
        <w:rPr>
          <w:rFonts w:ascii="Courier New" w:cs="Courier New" w:eastAsia="Courier New" w:hAnsi="Courier New"/>
          <w:sz w:val="18"/>
          <w:szCs w:val="18"/>
          <w:color w:val="auto"/>
        </w:rPr>
      </w:pPr>
    </w:p>
    <w:p>
      <w:pPr>
        <w:ind w:left="1580" w:hanging="423"/>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 Financial Data Schedule (for SEC use only).</w:t>
      </w:r>
    </w:p>
    <w:p>
      <w:pPr>
        <w:spacing w:after="0" w:line="200" w:lineRule="exact"/>
        <w:rPr>
          <w:sz w:val="20"/>
          <w:szCs w:val="20"/>
          <w:color w:val="auto"/>
        </w:rPr>
      </w:pPr>
    </w:p>
    <w:p>
      <w:pPr>
        <w:spacing w:after="0" w:line="204"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Page 17 of 18</w:t>
      </w:r>
    </w:p>
    <w:p>
      <w:pPr>
        <w:sectPr>
          <w:pgSz w:w="11900" w:h="16838" w:orient="portrait"/>
          <w:cols w:equalWidth="0" w:num="1">
            <w:col w:w="9999"/>
          </w:cols>
          <w:pgMar w:left="460" w:top="717" w:right="1440" w:bottom="1440" w:gutter="0" w:footer="0" w:header="0"/>
        </w:sectPr>
      </w:pPr>
    </w:p>
    <w:bookmarkStart w:id="16" w:name="page17"/>
    <w:bookmarkEnd w:id="16"/>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WORLD FUEL SERVICES CORPORTION</w:t>
      </w:r>
    </w:p>
    <w:p>
      <w:pPr>
        <w:spacing w:after="0" w:line="200" w:lineRule="exact"/>
        <w:rPr>
          <w:sz w:val="20"/>
          <w:szCs w:val="20"/>
          <w:color w:val="auto"/>
        </w:rPr>
      </w:pPr>
    </w:p>
    <w:p>
      <w:pPr>
        <w:sectPr>
          <w:pgSz w:w="11900" w:h="16838" w:orient="portrait"/>
          <w:cols w:equalWidth="0" w:num="2">
            <w:col w:w="2440" w:space="720"/>
            <w:col w:w="7059"/>
          </w:cols>
          <w:pgMar w:left="240" w:top="717"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JERROLD BLAIR</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Jerrold Blair</w:t>
      </w:r>
    </w:p>
    <w:p>
      <w:pPr>
        <w:ind w:left="358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CARLOS A. ABAUNZA</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Carlos A. Asaunza</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18 of 18</w:t>
      </w:r>
    </w:p>
    <w:p>
      <w:pPr>
        <w:sectPr>
          <w:pgSz w:w="11900" w:h="16838" w:orient="portrait"/>
          <w:cols w:equalWidth="0" w:num="1">
            <w:col w:w="10219"/>
          </w:cols>
          <w:pgMar w:left="240" w:top="717" w:right="1440" w:bottom="1440" w:gutter="0" w:footer="0" w:header="0"/>
          <w:type w:val="continuous"/>
        </w:sectPr>
      </w:pPr>
    </w:p>
    <w:bookmarkStart w:id="17" w:name="page18"/>
    <w:bookmarkEnd w:id="17"/>
    <w:p>
      <w:pPr>
        <w:ind w:left="8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SCHEDULE CONTAINS SUMMARY FINANCIAL INFORMATION EXTRACTED FROM THE</w:t>
      </w:r>
    </w:p>
    <w:p>
      <w:pPr>
        <w:spacing w:after="0" w:line="238" w:lineRule="auto"/>
        <w:rPr>
          <w:sz w:val="20"/>
          <w:szCs w:val="20"/>
          <w:color w:val="auto"/>
        </w:rPr>
      </w:pPr>
      <w:r>
        <w:rPr>
          <w:rFonts w:ascii="Courier New" w:cs="Courier New" w:eastAsia="Courier New" w:hAnsi="Courier New"/>
          <w:sz w:val="18"/>
          <w:szCs w:val="18"/>
          <w:color w:val="auto"/>
        </w:rPr>
        <w:t>COMPANY'S SEPTEMBER 30, 1996 UNAUDITED FINANCIAL STATEMENTS FILED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10-Q AND IS QUALIFIED IN ITS ENTIRETY BY REFERENCE TO SUCH FINANCIAL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ind w:left="2700"/>
        <w:spacing w:after="0" w:line="238" w:lineRule="auto"/>
        <w:rPr>
          <w:sz w:val="20"/>
          <w:szCs w:val="20"/>
          <w:color w:val="auto"/>
        </w:rPr>
      </w:pPr>
      <w:r>
        <w:rPr>
          <w:rFonts w:ascii="Courier New" w:cs="Courier New" w:eastAsia="Courier New" w:hAnsi="Courier New"/>
          <w:sz w:val="18"/>
          <w:szCs w:val="18"/>
          <w:color w:val="auto"/>
        </w:rPr>
        <w:t>MAR-31-1997</w:t>
      </w:r>
    </w:p>
    <w:p>
      <w:pPr>
        <w:ind w:left="3240"/>
        <w:spacing w:after="0"/>
        <w:rPr>
          <w:sz w:val="20"/>
          <w:szCs w:val="20"/>
          <w:color w:val="auto"/>
        </w:rPr>
      </w:pPr>
      <w:r>
        <w:rPr>
          <w:rFonts w:ascii="Courier New" w:cs="Courier New" w:eastAsia="Courier New" w:hAnsi="Courier New"/>
          <w:sz w:val="18"/>
          <w:szCs w:val="18"/>
          <w:color w:val="auto"/>
        </w:rPr>
        <w:t>SEP-30-1996</w:t>
      </w:r>
    </w:p>
    <w:p>
      <w:pPr>
        <w:ind w:left="3980"/>
        <w:spacing w:after="0" w:line="237" w:lineRule="auto"/>
        <w:rPr>
          <w:sz w:val="20"/>
          <w:szCs w:val="20"/>
          <w:color w:val="auto"/>
        </w:rPr>
      </w:pPr>
      <w:r>
        <w:rPr>
          <w:rFonts w:ascii="Courier New" w:cs="Courier New" w:eastAsia="Courier New" w:hAnsi="Courier New"/>
          <w:sz w:val="18"/>
          <w:szCs w:val="18"/>
          <w:color w:val="auto"/>
        </w:rPr>
        <w:t>15,577,000</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240"/>
        <w:spacing w:after="0"/>
        <w:rPr>
          <w:sz w:val="20"/>
          <w:szCs w:val="20"/>
          <w:color w:val="auto"/>
        </w:rPr>
      </w:pPr>
      <w:r>
        <w:rPr>
          <w:rFonts w:ascii="Courier New" w:cs="Courier New" w:eastAsia="Courier New" w:hAnsi="Courier New"/>
          <w:sz w:val="18"/>
          <w:szCs w:val="18"/>
          <w:color w:val="auto"/>
        </w:rPr>
        <w:t>66,085,000</w:t>
      </w:r>
    </w:p>
    <w:p>
      <w:pPr>
        <w:ind w:left="3440"/>
        <w:spacing w:after="0" w:line="237" w:lineRule="auto"/>
        <w:rPr>
          <w:sz w:val="20"/>
          <w:szCs w:val="20"/>
          <w:color w:val="auto"/>
        </w:rPr>
      </w:pPr>
      <w:r>
        <w:rPr>
          <w:rFonts w:ascii="Courier New" w:cs="Courier New" w:eastAsia="Courier New" w:hAnsi="Courier New"/>
          <w:sz w:val="18"/>
          <w:szCs w:val="18"/>
          <w:color w:val="auto"/>
        </w:rPr>
        <w:t>4,400,000</w:t>
      </w:r>
    </w:p>
    <w:p>
      <w:pPr>
        <w:ind w:left="3540"/>
        <w:spacing w:after="0"/>
        <w:rPr>
          <w:sz w:val="20"/>
          <w:szCs w:val="20"/>
          <w:color w:val="auto"/>
        </w:rPr>
      </w:pPr>
      <w:r>
        <w:rPr>
          <w:rFonts w:ascii="Courier New" w:cs="Courier New" w:eastAsia="Courier New" w:hAnsi="Courier New"/>
          <w:sz w:val="18"/>
          <w:szCs w:val="18"/>
          <w:color w:val="auto"/>
        </w:rPr>
        <w:t>5,051,000</w:t>
      </w:r>
    </w:p>
    <w:p>
      <w:pPr>
        <w:ind w:left="2920"/>
        <w:spacing w:after="0" w:line="237" w:lineRule="auto"/>
        <w:rPr>
          <w:sz w:val="20"/>
          <w:szCs w:val="20"/>
          <w:color w:val="auto"/>
        </w:rPr>
      </w:pPr>
      <w:r>
        <w:rPr>
          <w:rFonts w:ascii="Courier New" w:cs="Courier New" w:eastAsia="Courier New" w:hAnsi="Courier New"/>
          <w:sz w:val="18"/>
          <w:szCs w:val="18"/>
          <w:color w:val="auto"/>
        </w:rPr>
        <w:t>89,976,000</w:t>
      </w:r>
    </w:p>
    <w:p>
      <w:pPr>
        <w:ind w:left="3980"/>
        <w:spacing w:after="0"/>
        <w:rPr>
          <w:sz w:val="20"/>
          <w:szCs w:val="20"/>
          <w:color w:val="auto"/>
        </w:rPr>
      </w:pPr>
      <w:r>
        <w:rPr>
          <w:rFonts w:ascii="Courier New" w:cs="Courier New" w:eastAsia="Courier New" w:hAnsi="Courier New"/>
          <w:sz w:val="18"/>
          <w:szCs w:val="18"/>
          <w:color w:val="auto"/>
        </w:rPr>
        <w:t>21,784,000</w:t>
      </w:r>
    </w:p>
    <w:p>
      <w:pPr>
        <w:ind w:left="3240"/>
        <w:spacing w:after="0" w:line="237" w:lineRule="auto"/>
        <w:rPr>
          <w:sz w:val="20"/>
          <w:szCs w:val="20"/>
          <w:color w:val="auto"/>
        </w:rPr>
      </w:pPr>
      <w:r>
        <w:rPr>
          <w:rFonts w:ascii="Courier New" w:cs="Courier New" w:eastAsia="Courier New" w:hAnsi="Courier New"/>
          <w:sz w:val="18"/>
          <w:szCs w:val="18"/>
          <w:color w:val="auto"/>
        </w:rPr>
        <w:t>6,408,000</w:t>
      </w:r>
    </w:p>
    <w:p>
      <w:pPr>
        <w:ind w:left="3020"/>
        <w:spacing w:after="0" w:line="238" w:lineRule="auto"/>
        <w:rPr>
          <w:sz w:val="20"/>
          <w:szCs w:val="20"/>
          <w:color w:val="auto"/>
        </w:rPr>
      </w:pPr>
      <w:r>
        <w:rPr>
          <w:rFonts w:ascii="Courier New" w:cs="Courier New" w:eastAsia="Courier New" w:hAnsi="Courier New"/>
          <w:sz w:val="18"/>
          <w:szCs w:val="18"/>
          <w:color w:val="auto"/>
        </w:rPr>
        <w:t>118,525,000</w:t>
      </w:r>
    </w:p>
    <w:p>
      <w:pPr>
        <w:ind w:left="2400"/>
        <w:spacing w:after="0"/>
        <w:rPr>
          <w:sz w:val="20"/>
          <w:szCs w:val="20"/>
          <w:color w:val="auto"/>
        </w:rPr>
      </w:pPr>
      <w:r>
        <w:rPr>
          <w:rFonts w:ascii="Courier New" w:cs="Courier New" w:eastAsia="Courier New" w:hAnsi="Courier New"/>
          <w:sz w:val="18"/>
          <w:szCs w:val="18"/>
          <w:color w:val="auto"/>
        </w:rPr>
        <w:t>44,889,000</w:t>
      </w:r>
    </w:p>
    <w:p>
      <w:pPr>
        <w:jc w:val="center"/>
        <w:ind w:right="459"/>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4180"/>
        <w:spacing w:after="0"/>
        <w:rPr>
          <w:sz w:val="20"/>
          <w:szCs w:val="20"/>
          <w:color w:val="auto"/>
        </w:rPr>
      </w:pPr>
      <w:r>
        <w:rPr>
          <w:rFonts w:ascii="Courier New" w:cs="Courier New" w:eastAsia="Courier New" w:hAnsi="Courier New"/>
          <w:sz w:val="18"/>
          <w:szCs w:val="18"/>
          <w:color w:val="auto"/>
        </w:rPr>
        <w:t>81,000</w:t>
      </w:r>
    </w:p>
    <w:p>
      <w:pPr>
        <w:ind w:left="3540"/>
        <w:spacing w:after="0" w:line="237" w:lineRule="auto"/>
        <w:rPr>
          <w:sz w:val="20"/>
          <w:szCs w:val="20"/>
          <w:color w:val="auto"/>
        </w:rPr>
      </w:pPr>
      <w:r>
        <w:rPr>
          <w:rFonts w:ascii="Courier New" w:cs="Courier New" w:eastAsia="Courier New" w:hAnsi="Courier New"/>
          <w:sz w:val="18"/>
          <w:szCs w:val="18"/>
          <w:color w:val="auto"/>
        </w:rPr>
        <w:t>68,858,000</w:t>
      </w:r>
    </w:p>
    <w:p>
      <w:pPr>
        <w:ind w:left="1540"/>
        <w:spacing w:after="0" w:line="238" w:lineRule="auto"/>
        <w:rPr>
          <w:sz w:val="20"/>
          <w:szCs w:val="20"/>
          <w:color w:val="auto"/>
        </w:rPr>
      </w:pPr>
      <w:r>
        <w:rPr>
          <w:rFonts w:ascii="Courier New" w:cs="Courier New" w:eastAsia="Courier New" w:hAnsi="Courier New"/>
          <w:sz w:val="18"/>
          <w:szCs w:val="18"/>
          <w:color w:val="auto"/>
        </w:rPr>
        <w:t>118,525,000</w:t>
      </w:r>
    </w:p>
    <w:p>
      <w:pPr>
        <w:ind w:left="3760"/>
        <w:spacing w:after="0"/>
        <w:rPr>
          <w:sz w:val="20"/>
          <w:szCs w:val="20"/>
          <w:color w:val="auto"/>
        </w:rPr>
      </w:pPr>
      <w:r>
        <w:rPr>
          <w:rFonts w:ascii="Courier New" w:cs="Courier New" w:eastAsia="Courier New" w:hAnsi="Courier New"/>
          <w:sz w:val="18"/>
          <w:szCs w:val="18"/>
          <w:color w:val="auto"/>
        </w:rPr>
        <w:t>351,043,000</w:t>
      </w:r>
    </w:p>
    <w:p>
      <w:pPr>
        <w:ind w:left="2820"/>
        <w:spacing w:after="0" w:line="237" w:lineRule="auto"/>
        <w:rPr>
          <w:sz w:val="20"/>
          <w:szCs w:val="20"/>
          <w:color w:val="auto"/>
        </w:rPr>
      </w:pPr>
      <w:r>
        <w:rPr>
          <w:rFonts w:ascii="Courier New" w:cs="Courier New" w:eastAsia="Courier New" w:hAnsi="Courier New"/>
          <w:sz w:val="18"/>
          <w:szCs w:val="18"/>
          <w:color w:val="auto"/>
        </w:rPr>
        <w:t>351,043,000</w:t>
      </w:r>
    </w:p>
    <w:p>
      <w:pPr>
        <w:ind w:left="3980"/>
        <w:spacing w:after="0"/>
        <w:rPr>
          <w:sz w:val="20"/>
          <w:szCs w:val="20"/>
          <w:color w:val="auto"/>
        </w:rPr>
      </w:pPr>
      <w:r>
        <w:rPr>
          <w:rFonts w:ascii="Courier New" w:cs="Courier New" w:eastAsia="Courier New" w:hAnsi="Courier New"/>
          <w:sz w:val="18"/>
          <w:szCs w:val="18"/>
          <w:color w:val="auto"/>
        </w:rPr>
        <w:t>327,785,000</w:t>
      </w:r>
    </w:p>
    <w:p>
      <w:pPr>
        <w:ind w:left="3120"/>
        <w:spacing w:after="0" w:line="237" w:lineRule="auto"/>
        <w:rPr>
          <w:sz w:val="20"/>
          <w:szCs w:val="20"/>
          <w:color w:val="auto"/>
        </w:rPr>
      </w:pPr>
      <w:r>
        <w:rPr>
          <w:rFonts w:ascii="Courier New" w:cs="Courier New" w:eastAsia="Courier New" w:hAnsi="Courier New"/>
          <w:sz w:val="18"/>
          <w:szCs w:val="18"/>
          <w:color w:val="auto"/>
        </w:rPr>
        <w:t>327,785,000</w:t>
      </w:r>
    </w:p>
    <w:p>
      <w:pPr>
        <w:ind w:left="3860"/>
        <w:spacing w:after="0"/>
        <w:rPr>
          <w:sz w:val="20"/>
          <w:szCs w:val="20"/>
          <w:color w:val="auto"/>
        </w:rPr>
      </w:pPr>
      <w:r>
        <w:rPr>
          <w:rFonts w:ascii="Courier New" w:cs="Courier New" w:eastAsia="Courier New" w:hAnsi="Courier New"/>
          <w:sz w:val="18"/>
          <w:szCs w:val="18"/>
          <w:color w:val="auto"/>
        </w:rPr>
        <w:t>0</w:t>
      </w:r>
    </w:p>
    <w:p>
      <w:pPr>
        <w:ind w:left="3020"/>
        <w:spacing w:after="0" w:line="237" w:lineRule="auto"/>
        <w:rPr>
          <w:sz w:val="20"/>
          <w:szCs w:val="20"/>
          <w:color w:val="auto"/>
        </w:rPr>
      </w:pPr>
      <w:r>
        <w:rPr>
          <w:rFonts w:ascii="Courier New" w:cs="Courier New" w:eastAsia="Courier New" w:hAnsi="Courier New"/>
          <w:sz w:val="18"/>
          <w:szCs w:val="18"/>
          <w:color w:val="auto"/>
        </w:rPr>
        <w:t>2,534,000</w:t>
      </w:r>
    </w:p>
    <w:p>
      <w:pPr>
        <w:ind w:left="3020"/>
        <w:spacing w:after="0"/>
        <w:rPr>
          <w:sz w:val="20"/>
          <w:szCs w:val="20"/>
          <w:color w:val="auto"/>
        </w:rPr>
      </w:pPr>
      <w:r>
        <w:rPr>
          <w:rFonts w:ascii="Courier New" w:cs="Courier New" w:eastAsia="Courier New" w:hAnsi="Courier New"/>
          <w:sz w:val="18"/>
          <w:szCs w:val="18"/>
          <w:color w:val="auto"/>
        </w:rPr>
        <w:t>234,000</w:t>
      </w:r>
    </w:p>
    <w:p>
      <w:pPr>
        <w:ind w:left="3120"/>
        <w:spacing w:after="0" w:line="237" w:lineRule="auto"/>
        <w:rPr>
          <w:sz w:val="20"/>
          <w:szCs w:val="20"/>
          <w:color w:val="auto"/>
        </w:rPr>
      </w:pPr>
      <w:r>
        <w:rPr>
          <w:rFonts w:ascii="Courier New" w:cs="Courier New" w:eastAsia="Courier New" w:hAnsi="Courier New"/>
          <w:sz w:val="18"/>
          <w:szCs w:val="18"/>
          <w:color w:val="auto"/>
        </w:rPr>
        <w:t>9,345,000</w:t>
      </w:r>
    </w:p>
    <w:p>
      <w:pPr>
        <w:ind w:left="3440"/>
        <w:spacing w:after="0" w:line="238" w:lineRule="auto"/>
        <w:rPr>
          <w:sz w:val="20"/>
          <w:szCs w:val="20"/>
          <w:color w:val="auto"/>
        </w:rPr>
      </w:pPr>
      <w:r>
        <w:rPr>
          <w:rFonts w:ascii="Courier New" w:cs="Courier New" w:eastAsia="Courier New" w:hAnsi="Courier New"/>
          <w:sz w:val="18"/>
          <w:szCs w:val="18"/>
          <w:color w:val="auto"/>
        </w:rPr>
        <w:t>2,988,000</w:t>
      </w:r>
    </w:p>
    <w:p>
      <w:pPr>
        <w:ind w:left="2700"/>
        <w:spacing w:after="0"/>
        <w:rPr>
          <w:sz w:val="20"/>
          <w:szCs w:val="20"/>
          <w:color w:val="auto"/>
        </w:rPr>
      </w:pPr>
      <w:r>
        <w:rPr>
          <w:rFonts w:ascii="Courier New" w:cs="Courier New" w:eastAsia="Courier New" w:hAnsi="Courier New"/>
          <w:sz w:val="18"/>
          <w:szCs w:val="18"/>
          <w:color w:val="auto"/>
        </w:rPr>
        <w:t>6,357,000</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rPr>
          <w:sz w:val="20"/>
          <w:szCs w:val="20"/>
          <w:color w:val="auto"/>
        </w:rPr>
      </w:pPr>
      <w:r>
        <w:rPr>
          <w:rFonts w:ascii="Courier New" w:cs="Courier New" w:eastAsia="Courier New" w:hAnsi="Courier New"/>
          <w:sz w:val="18"/>
          <w:szCs w:val="18"/>
          <w:color w:val="auto"/>
        </w:rPr>
        <w:t>6,357,000</w:t>
      </w:r>
    </w:p>
    <w:p>
      <w:pPr>
        <w:ind w:left="3860"/>
        <w:spacing w:after="0" w:line="237" w:lineRule="auto"/>
        <w:rPr>
          <w:sz w:val="20"/>
          <w:szCs w:val="20"/>
          <w:color w:val="auto"/>
        </w:rPr>
      </w:pPr>
      <w:r>
        <w:rPr>
          <w:rFonts w:ascii="Courier New" w:cs="Courier New" w:eastAsia="Courier New" w:hAnsi="Courier New"/>
          <w:sz w:val="18"/>
          <w:szCs w:val="18"/>
          <w:color w:val="auto"/>
        </w:rPr>
        <w:t>0.78</w:t>
      </w:r>
    </w:p>
    <w:p>
      <w:pPr>
        <w:ind w:left="3860"/>
        <w:spacing w:after="0" w:line="238" w:lineRule="auto"/>
        <w:rPr>
          <w:sz w:val="20"/>
          <w:szCs w:val="20"/>
          <w:color w:val="auto"/>
        </w:rPr>
      </w:pPr>
      <w:r>
        <w:rPr>
          <w:rFonts w:ascii="Courier New" w:cs="Courier New" w:eastAsia="Courier New" w:hAnsi="Courier New"/>
          <w:sz w:val="18"/>
          <w:szCs w:val="18"/>
          <w:color w:val="auto"/>
        </w:rPr>
        <w:t>0.78</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2019-12-12T08:26:28Z</dcterms:created>
  <dcterms:modified xsi:type="dcterms:W3CDTF">2019-12-12T08:26:28Z</dcterms:modified>
</cp:coreProperties>
</file>