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Smith Andrea B</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WORLD KINECT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WKC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1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WORLD KINECT CORPORATION</w:t>
            </w:r>
          </w:p>
        </w:tc>
        <w:tc>
          <w:tcPr>
            <w:tcW w:w="2380" w:type="dxa"/>
            <w:vAlign w:val="bottom"/>
            <w:gridSpan w:val="3"/>
            <w:vMerge w:val="continue"/>
          </w:tcPr>
          <w:p>
            <w:pPr>
              <w:spacing w:after="0"/>
              <w:rPr>
                <w:sz w:val="11"/>
                <w:szCs w:val="11"/>
                <w:color w:val="auto"/>
              </w:rPr>
            </w:pPr>
          </w:p>
        </w:tc>
        <w:tc>
          <w:tcPr>
            <w:tcW w:w="1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9800 NW 41ST STREET</w:t>
            </w: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33178</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6,427</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10,686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issued as a restricted stock unit grant to the reporting person by the issuer.</w:t>
      </w:r>
    </w:p>
    <w:p>
      <w:pPr>
        <w:spacing w:after="0" w:line="5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shall vest on the earlier of (i) the day prior to the annual meeting of the shareholders of the issuer that next follows the grant date or (ii) the one-year anniversary of the grant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Weissman,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0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217" w:lineRule="exact"/>
        <w:rPr>
          <w:sz w:val="20"/>
          <w:szCs w:val="20"/>
          <w:color w:val="auto"/>
        </w:rPr>
      </w:pPr>
    </w:p>
    <w:p>
      <w:pPr>
        <w:ind w:right="220" w:firstLine="3"/>
        <w:spacing w:after="0" w:line="274"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Jeffrey Weissman and Jose Miquel Tejada, acting singly, as the undersigned's true and lawful attorneys-in-fact to:</w:t>
      </w:r>
    </w:p>
    <w:p>
      <w:pPr>
        <w:spacing w:after="0" w:line="142" w:lineRule="exact"/>
        <w:rPr>
          <w:sz w:val="20"/>
          <w:szCs w:val="20"/>
          <w:color w:val="auto"/>
        </w:rPr>
      </w:pPr>
    </w:p>
    <w:p>
      <w:pPr>
        <w:ind w:left="1100" w:hanging="629"/>
        <w:spacing w:after="0" w:line="245" w:lineRule="auto"/>
        <w:tabs>
          <w:tab w:leader="none" w:pos="110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obtain credentials (including codes or passwords) enabling the undersigned to make filings with the United States Securities and Exchange Commission (the "SEC"),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w:t>
      </w:r>
    </w:p>
    <w:p>
      <w:pPr>
        <w:spacing w:after="0" w:line="186" w:lineRule="exact"/>
        <w:rPr>
          <w:rFonts w:ascii="Times New Roman" w:cs="Times New Roman" w:eastAsia="Times New Roman" w:hAnsi="Times New Roman"/>
          <w:sz w:val="21"/>
          <w:szCs w:val="21"/>
          <w:color w:val="auto"/>
        </w:rPr>
      </w:pPr>
    </w:p>
    <w:p>
      <w:pPr>
        <w:ind w:left="1120" w:hanging="649"/>
        <w:spacing w:after="0" w:line="248" w:lineRule="auto"/>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w:t>
      </w:r>
      <w:r>
        <w:rPr>
          <w:rFonts w:ascii="Times New Roman" w:cs="Times New Roman" w:eastAsia="Times New Roman" w:hAnsi="Times New Roman"/>
          <w:sz w:val="22"/>
          <w:szCs w:val="22"/>
          <w:color w:val="auto"/>
        </w:rPr>
        <w:t>T;</w:t>
      </w:r>
    </w:p>
    <w:p>
      <w:pPr>
        <w:spacing w:after="0" w:line="179" w:lineRule="exact"/>
        <w:rPr>
          <w:rFonts w:ascii="Times New Roman" w:cs="Times New Roman" w:eastAsia="Times New Roman" w:hAnsi="Times New Roman"/>
          <w:sz w:val="21"/>
          <w:szCs w:val="21"/>
          <w:color w:val="auto"/>
        </w:rPr>
      </w:pPr>
    </w:p>
    <w:p>
      <w:pPr>
        <w:ind w:left="1120" w:right="220" w:hanging="634"/>
        <w:spacing w:after="0" w:line="256" w:lineRule="auto"/>
        <w:tabs>
          <w:tab w:leader="none" w:pos="1120"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World Kinect Corporation (the "Company") to accept a delegation of authority from the undersigned's EDGAR account administrators and authorize the Company's EDGAR account administrators pursuant to that delegated entity designation to appoint, remove or replace users for the undersigned's EDGAR account; and</w:t>
      </w:r>
    </w:p>
    <w:p>
      <w:pPr>
        <w:spacing w:after="0" w:line="173" w:lineRule="exact"/>
        <w:rPr>
          <w:rFonts w:ascii="Times New Roman" w:cs="Times New Roman" w:eastAsia="Times New Roman" w:hAnsi="Times New Roman"/>
          <w:sz w:val="21"/>
          <w:szCs w:val="21"/>
          <w:color w:val="auto"/>
        </w:rPr>
      </w:pPr>
    </w:p>
    <w:p>
      <w:pPr>
        <w:ind w:left="1120" w:right="280" w:hanging="634"/>
        <w:spacing w:after="0" w:line="247" w:lineRule="auto"/>
        <w:tabs>
          <w:tab w:leader="none" w:pos="1120"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the Company, (a) Forms 3, 4 and 5 in accordance with Section 16(a) of the Securities Exchange Act of 1934, as amended (the "Exchange Act"), and the rules thereunder, (b) Schedules 13D and 13G in accordance with Section 13 of the Exchange Act, and (c) forms and documents specifically related to Rule 144 under the Securities Act of 1933, as amended, and the rules thereunder (collectively, the "Required Filings");</w:t>
      </w:r>
    </w:p>
    <w:p>
      <w:pPr>
        <w:spacing w:after="0" w:line="156" w:lineRule="exact"/>
        <w:rPr>
          <w:rFonts w:ascii="Times New Roman" w:cs="Times New Roman" w:eastAsia="Times New Roman" w:hAnsi="Times New Roman"/>
          <w:sz w:val="21"/>
          <w:szCs w:val="21"/>
          <w:color w:val="auto"/>
        </w:rPr>
      </w:pPr>
    </w:p>
    <w:p>
      <w:pPr>
        <w:ind w:left="1120" w:right="200" w:hanging="634"/>
        <w:spacing w:after="0" w:line="250" w:lineRule="auto"/>
        <w:tabs>
          <w:tab w:leader="none" w:pos="1120"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in connection with the foregoing which may be necessary or desirable to complete and execute any such Required Filings, complete and execute any amendment or amendments thereto, and timely file such form with the SEC and any stock exchange or similar authority;</w:t>
      </w:r>
    </w:p>
    <w:p>
      <w:pPr>
        <w:spacing w:after="0" w:line="179" w:lineRule="exact"/>
        <w:rPr>
          <w:rFonts w:ascii="Times New Roman" w:cs="Times New Roman" w:eastAsia="Times New Roman" w:hAnsi="Times New Roman"/>
          <w:sz w:val="21"/>
          <w:szCs w:val="21"/>
          <w:color w:val="auto"/>
        </w:rPr>
      </w:pPr>
    </w:p>
    <w:p>
      <w:pPr>
        <w:ind w:left="1120" w:right="240" w:hanging="634"/>
        <w:spacing w:after="0" w:line="247" w:lineRule="auto"/>
        <w:tabs>
          <w:tab w:leader="none" w:pos="1120"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467995</wp:posOffset>
            </wp:positionV>
            <wp:extent cx="698944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740"/>
          </w:cols>
          <w:pgMar w:left="580" w:top="1331" w:right="579" w:bottom="1440" w:gutter="0" w:footer="0" w:header="0"/>
        </w:sectPr>
      </w:pPr>
    </w:p>
    <w:bookmarkStart w:id="2" w:name="page3"/>
    <w:bookmarkEnd w:id="2"/>
    <w:p>
      <w:pPr>
        <w:ind w:hanging="8"/>
        <w:spacing w:after="0" w:line="256"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15" w:lineRule="exact"/>
        <w:rPr>
          <w:sz w:val="20"/>
          <w:szCs w:val="20"/>
          <w:color w:val="auto"/>
        </w:rPr>
      </w:pPr>
    </w:p>
    <w:p>
      <w:pPr>
        <w:ind w:right="120" w:firstLine="1"/>
        <w:spacing w:after="0" w:line="269"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make EDGAR filings with respect to the undersigned's holdings of, and transactions in, securities issued by the Company, unless earlier revoked by the undersigned in a signed writing delivered to the foregoing attorneys-in-fact.</w:t>
      </w:r>
    </w:p>
    <w:p>
      <w:pPr>
        <w:spacing w:after="0" w:line="15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This Limited Power of Attorney is executed as of the date set forth below.</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this 18th day of March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color w:val="auto"/>
        </w:rPr>
        <w:t>/s/ Andrea B.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-7620</wp:posOffset>
            </wp:positionV>
            <wp:extent cx="1296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1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Andrea B. Smith</w:t>
      </w: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STATE OF FLORIDA COUNTY OF MIAMI-DADE</w:t>
      </w: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foregoing instrument was acknowledged before me this 18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0"/>
          <w:szCs w:val="20"/>
          <w:color w:val="auto"/>
        </w:rPr>
        <w:t xml:space="preserve"> day of March, 2026, by Andrea</w:t>
      </w:r>
    </w:p>
    <w:p>
      <w:pPr>
        <w:ind w:right="9500" w:firstLine="7"/>
        <w:spacing w:after="0" w:line="248" w:lineRule="auto"/>
        <w:tabs>
          <w:tab w:leader="none" w:pos="24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Smith. </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 Ronda Gail</w:t>
      </w:r>
    </w:p>
    <w:p>
      <w:pPr>
        <w:ind w:left="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Ronda Gail Notary Public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 xml:space="preserve">Personally known: </w:t>
      </w:r>
      <w:r>
        <w:rPr>
          <w:rFonts w:ascii="Times New Roman" w:cs="Times New Roman" w:eastAsia="Times New Roman" w:hAnsi="Times New Roman"/>
          <w:sz w:val="21"/>
          <w:szCs w:val="21"/>
          <w:u w:val="single" w:color="auto"/>
          <w:color w:val="auto"/>
        </w:rPr>
        <w:t>X</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OR Produced Identification:</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Type of Identification Produced: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612775</wp:posOffset>
            </wp:positionV>
            <wp:extent cx="698944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10680"/>
      </w:cols>
      <w:pgMar w:left="740" w:top="132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lvl w:ilvl="1">
      <w:lvlJc w:val="left"/>
      <w:lvlText w:val="%2."/>
      <w:numFmt w:val="decimal"/>
      <w:start w:val="3"/>
    </w:lvl>
  </w:abstractNum>
  <w:abstractNum w:abstractNumId="3">
    <w:nsid w:val="625558EC"/>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49634" TargetMode="External"/><Relationship Id="rId14"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2026-06-23T15:52:09Z</dcterms:created>
  <dcterms:modified xsi:type="dcterms:W3CDTF">2026-06-23T15:52:09Z</dcterms:modified>
</cp:coreProperties>
</file>