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206375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43" w:lineRule="exact"/>
        <w:rPr>
          <w:sz w:val="24"/>
          <w:szCs w:val="24"/>
          <w:color w:val="auto"/>
        </w:rPr>
      </w:pPr>
    </w:p>
    <w:p>
      <w:pPr>
        <w:ind w:left="580" w:right="60" w:hanging="572"/>
        <w:spacing w:after="0" w:line="262" w:lineRule="auto"/>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8"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2003</w:t>
      </w:r>
    </w:p>
    <w:p>
      <w:pPr>
        <w:spacing w:after="0" w:line="143" w:lineRule="exact"/>
        <w:rPr>
          <w:sz w:val="24"/>
          <w:szCs w:val="24"/>
          <w:color w:val="auto"/>
        </w:rPr>
      </w:pPr>
    </w:p>
    <w:p>
      <w:pPr>
        <w:ind w:left="580" w:right="60" w:hanging="572"/>
        <w:spacing w:after="0" w:line="262" w:lineRule="auto"/>
        <w:tabs>
          <w:tab w:leader="none" w:pos="58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8" w:lineRule="exact"/>
        <w:rPr>
          <w:sz w:val="24"/>
          <w:szCs w:val="24"/>
          <w:color w:val="auto"/>
        </w:rPr>
      </w:pPr>
    </w:p>
    <w:p>
      <w:pPr>
        <w:ind w:left="580"/>
        <w:spacing w:after="0"/>
        <w:tabs>
          <w:tab w:leader="none" w:pos="44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2458085</wp:posOffset>
            </wp:positionH>
            <wp:positionV relativeFrom="paragraph">
              <wp:posOffset>-8890</wp:posOffset>
            </wp:positionV>
            <wp:extent cx="883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3920" cy="8890"/>
                    </a:xfrm>
                    <a:prstGeom prst="rect">
                      <a:avLst/>
                    </a:prstGeom>
                    <a:noFill/>
                  </pic:spPr>
                </pic:pic>
              </a:graphicData>
            </a:graphic>
          </wp:anchor>
        </w:drawing>
      </w:r>
    </w:p>
    <w:p>
      <w:pPr>
        <w:spacing w:after="0" w:line="13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179070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43"/>
          <w:szCs w:val="43"/>
          <w:b w:val="1"/>
          <w:bCs w:val="1"/>
          <w:color w:val="auto"/>
        </w:rPr>
        <w:t>WORLD FUEL SERVICES CORPORATION</w:t>
      </w:r>
    </w:p>
    <w:p>
      <w:pPr>
        <w:spacing w:after="0" w:line="58" w:lineRule="exact"/>
        <w:rPr>
          <w:sz w:val="24"/>
          <w:szCs w:val="24"/>
          <w:color w:val="auto"/>
        </w:rPr>
      </w:pPr>
    </w:p>
    <w:tbl>
      <w:tblPr>
        <w:tblLayout w:type="fixed"/>
        <w:tblInd w:w="1540" w:type="dxa"/>
        <w:tblCellMar>
          <w:top w:w="0" w:type="dxa"/>
          <w:left w:w="0" w:type="dxa"/>
          <w:bottom w:w="0" w:type="dxa"/>
          <w:right w:w="0" w:type="dxa"/>
        </w:tblCellMar>
      </w:tblPr>
      <w:tr>
        <w:trPr>
          <w:trHeight w:val="178"/>
        </w:trPr>
        <w:tc>
          <w:tcPr>
            <w:tcW w:w="2520" w:type="dxa"/>
            <w:vAlign w:val="bottom"/>
          </w:tcPr>
          <w:p>
            <w:pPr>
              <w:spacing w:after="0"/>
              <w:rPr>
                <w:sz w:val="15"/>
                <w:szCs w:val="15"/>
                <w:color w:val="auto"/>
              </w:rPr>
            </w:pPr>
          </w:p>
        </w:tc>
        <w:tc>
          <w:tcPr>
            <w:tcW w:w="51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r>
      <w:tr>
        <w:trPr>
          <w:trHeight w:val="317"/>
        </w:trPr>
        <w:tc>
          <w:tcPr>
            <w:tcW w:w="252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5180" w:type="dxa"/>
            <w:vAlign w:val="bottom"/>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rPr>
              <w:t>59-2459427</w:t>
            </w:r>
          </w:p>
        </w:tc>
      </w:tr>
      <w:tr>
        <w:trPr>
          <w:trHeight w:val="149"/>
        </w:trPr>
        <w:tc>
          <w:tcPr>
            <w:tcW w:w="252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w w:val="95"/>
              </w:rPr>
              <w:t>(State or other jurisdiction of</w:t>
            </w:r>
          </w:p>
        </w:tc>
        <w:tc>
          <w:tcPr>
            <w:tcW w:w="5180" w:type="dxa"/>
            <w:vAlign w:val="bottom"/>
          </w:tcPr>
          <w:p>
            <w:pPr>
              <w:jc w:val="center"/>
              <w:ind w:left="4046"/>
              <w:spacing w:after="0" w:line="149" w:lineRule="exact"/>
              <w:rPr>
                <w:sz w:val="20"/>
                <w:szCs w:val="20"/>
                <w:color w:val="auto"/>
              </w:rPr>
            </w:pPr>
            <w:r>
              <w:rPr>
                <w:rFonts w:ascii="Times New Roman" w:cs="Times New Roman" w:eastAsia="Times New Roman" w:hAnsi="Times New Roman"/>
                <w:sz w:val="14"/>
                <w:szCs w:val="14"/>
                <w:b w:val="1"/>
                <w:bCs w:val="1"/>
                <w:color w:val="auto"/>
                <w:w w:val="96"/>
              </w:rPr>
              <w:t>(I.R.S. Employer</w:t>
            </w:r>
          </w:p>
        </w:tc>
      </w:tr>
      <w:tr>
        <w:trPr>
          <w:trHeight w:val="178"/>
        </w:trPr>
        <w:tc>
          <w:tcPr>
            <w:tcW w:w="25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6"/>
              </w:rPr>
              <w:t>incorporation or organization)</w:t>
            </w:r>
          </w:p>
        </w:tc>
        <w:tc>
          <w:tcPr>
            <w:tcW w:w="5180" w:type="dxa"/>
            <w:vAlign w:val="bottom"/>
          </w:tcPr>
          <w:p>
            <w:pPr>
              <w:jc w:val="center"/>
              <w:ind w:left="4046"/>
              <w:spacing w:after="0"/>
              <w:rPr>
                <w:sz w:val="20"/>
                <w:szCs w:val="20"/>
                <w:color w:val="auto"/>
              </w:rPr>
            </w:pPr>
            <w:r>
              <w:rPr>
                <w:rFonts w:ascii="Times New Roman" w:cs="Times New Roman" w:eastAsia="Times New Roman" w:hAnsi="Times New Roman"/>
                <w:sz w:val="14"/>
                <w:szCs w:val="14"/>
                <w:b w:val="1"/>
                <w:bCs w:val="1"/>
                <w:color w:val="auto"/>
                <w:w w:val="96"/>
              </w:rPr>
              <w:t>Identification No.)</w:t>
            </w:r>
          </w:p>
        </w:tc>
      </w:tr>
      <w:tr>
        <w:trPr>
          <w:trHeight w:val="403"/>
        </w:trPr>
        <w:tc>
          <w:tcPr>
            <w:tcW w:w="25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6"/>
              </w:rPr>
              <w:t>9800 N.W. 41</w:t>
            </w:r>
            <w:r>
              <w:rPr>
                <w:rFonts w:ascii="Times New Roman" w:cs="Times New Roman" w:eastAsia="Times New Roman" w:hAnsi="Times New Roman"/>
                <w:sz w:val="22"/>
                <w:szCs w:val="22"/>
                <w:b w:val="1"/>
                <w:bCs w:val="1"/>
                <w:color w:val="auto"/>
                <w:w w:val="96"/>
                <w:vertAlign w:val="superscript"/>
              </w:rPr>
              <w:t>st</w:t>
            </w:r>
            <w:r>
              <w:rPr>
                <w:rFonts w:ascii="Times New Roman" w:cs="Times New Roman" w:eastAsia="Times New Roman" w:hAnsi="Times New Roman"/>
                <w:sz w:val="18"/>
                <w:szCs w:val="18"/>
                <w:b w:val="1"/>
                <w:bCs w:val="1"/>
                <w:color w:val="auto"/>
                <w:w w:val="96"/>
              </w:rPr>
              <w:t xml:space="preserve"> Street, Suite 400</w:t>
            </w:r>
          </w:p>
        </w:tc>
        <w:tc>
          <w:tcPr>
            <w:tcW w:w="5180" w:type="dxa"/>
            <w:vAlign w:val="bottom"/>
          </w:tcPr>
          <w:p>
            <w:pPr>
              <w:spacing w:after="0"/>
              <w:rPr>
                <w:sz w:val="24"/>
                <w:szCs w:val="24"/>
                <w:color w:val="auto"/>
              </w:rPr>
            </w:pPr>
          </w:p>
        </w:tc>
      </w:tr>
      <w:tr>
        <w:trPr>
          <w:trHeight w:val="216"/>
        </w:trPr>
        <w:tc>
          <w:tcPr>
            <w:tcW w:w="25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7"/>
              </w:rPr>
              <w:t>Miami, Florida</w:t>
            </w:r>
          </w:p>
        </w:tc>
        <w:tc>
          <w:tcPr>
            <w:tcW w:w="5180" w:type="dxa"/>
            <w:vAlign w:val="bottom"/>
          </w:tcPr>
          <w:p>
            <w:pPr>
              <w:jc w:val="right"/>
              <w:ind w:right="246"/>
              <w:spacing w:after="0"/>
              <w:rPr>
                <w:sz w:val="20"/>
                <w:szCs w:val="20"/>
                <w:color w:val="auto"/>
              </w:rPr>
            </w:pPr>
            <w:r>
              <w:rPr>
                <w:rFonts w:ascii="Times New Roman" w:cs="Times New Roman" w:eastAsia="Times New Roman" w:hAnsi="Times New Roman"/>
                <w:sz w:val="18"/>
                <w:szCs w:val="18"/>
                <w:b w:val="1"/>
                <w:bCs w:val="1"/>
                <w:color w:val="auto"/>
              </w:rPr>
              <w:t>33178</w:t>
            </w:r>
          </w:p>
        </w:tc>
      </w:tr>
      <w:tr>
        <w:trPr>
          <w:trHeight w:val="178"/>
        </w:trPr>
        <w:tc>
          <w:tcPr>
            <w:tcW w:w="25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6"/>
              </w:rPr>
              <w:t>(Address of Principal Executive Offices)</w:t>
            </w:r>
          </w:p>
        </w:tc>
        <w:tc>
          <w:tcPr>
            <w:tcW w:w="5180" w:type="dxa"/>
            <w:vAlign w:val="bottom"/>
          </w:tcPr>
          <w:p>
            <w:pPr>
              <w:jc w:val="center"/>
              <w:ind w:left="4046"/>
              <w:spacing w:after="0"/>
              <w:rPr>
                <w:sz w:val="20"/>
                <w:szCs w:val="20"/>
                <w:color w:val="auto"/>
              </w:rPr>
            </w:pPr>
            <w:r>
              <w:rPr>
                <w:rFonts w:ascii="Times New Roman" w:cs="Times New Roman" w:eastAsia="Times New Roman" w:hAnsi="Times New Roman"/>
                <w:sz w:val="14"/>
                <w:szCs w:val="14"/>
                <w:b w:val="1"/>
                <w:bCs w:val="1"/>
                <w:color w:val="auto"/>
                <w:w w:val="95"/>
              </w:rPr>
              <w:t>(Zip Code)</w:t>
            </w:r>
          </w:p>
        </w:tc>
      </w:tr>
    </w:tbl>
    <w:p>
      <w:pPr>
        <w:spacing w:after="0" w:line="11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(305) 428-8000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179070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ind w:firstLine="456"/>
        <w:spacing w:after="0" w:line="2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1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APPLICABLE ONLY TO CORPORATE ISSUERS:</w:t>
      </w:r>
    </w:p>
    <w:p>
      <w:pPr>
        <w:spacing w:after="0" w:line="160"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6"/>
          <w:szCs w:val="16"/>
          <w:color w:val="auto"/>
        </w:rPr>
        <w:t>The registrant had a total of 10,784,000 shares of common stock, par value $0.01 per share, net of treasury stock, outstanding as of November 5,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40"/>
          </w:cols>
          <w:pgMar w:left="240" w:top="226" w:right="51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460" w:type="dxa"/>
            <w:vAlign w:val="bottom"/>
            <w:gridSpan w:val="7"/>
          </w:tcPr>
          <w:p>
            <w:pPr>
              <w:ind w:left="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Page</w:t>
            </w:r>
          </w:p>
        </w:tc>
        <w:tc>
          <w:tcPr>
            <w:tcW w:w="0" w:type="dxa"/>
            <w:vAlign w:val="bottom"/>
          </w:tcPr>
          <w:p>
            <w:pPr>
              <w:spacing w:after="0"/>
              <w:rPr>
                <w:sz w:val="1"/>
                <w:szCs w:val="1"/>
                <w:color w:val="auto"/>
              </w:rPr>
            </w:pPr>
          </w:p>
        </w:tc>
      </w:tr>
      <w:tr>
        <w:trPr>
          <w:trHeight w:val="95"/>
        </w:trPr>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60" w:type="dxa"/>
            <w:vAlign w:val="bottom"/>
            <w:gridSpan w:val="7"/>
            <w:vMerge w:val="restart"/>
          </w:tcPr>
          <w:p>
            <w:pPr>
              <w:jc w:val="center"/>
              <w:ind w:right="4020"/>
              <w:spacing w:after="0"/>
              <w:rPr>
                <w:sz w:val="20"/>
                <w:szCs w:val="20"/>
                <w:color w:val="auto"/>
              </w:rPr>
            </w:pPr>
            <w:r>
              <w:rPr>
                <w:rFonts w:ascii="Times New Roman" w:cs="Times New Roman" w:eastAsia="Times New Roman" w:hAnsi="Times New Roman"/>
                <w:sz w:val="18"/>
                <w:szCs w:val="18"/>
                <w:color w:val="auto"/>
                <w:w w:val="97"/>
              </w:rPr>
              <w:t>Part I. Financial Information</w:t>
            </w: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4"/>
              </w:rPr>
            </w:pPr>
            <w:hyperlink w:anchor="page3">
              <w:r>
                <w:rPr>
                  <w:rFonts w:ascii="Times New Roman" w:cs="Times New Roman" w:eastAsia="Times New Roman" w:hAnsi="Times New Roman"/>
                  <w:sz w:val="18"/>
                  <w:szCs w:val="18"/>
                  <w:color w:val="0000EE"/>
                  <w:w w:val="94"/>
                </w:rPr>
                <w:t>General</w:t>
              </w:r>
            </w:hyperlink>
          </w:p>
        </w:tc>
        <w:tc>
          <w:tcPr>
            <w:tcW w:w="9140" w:type="dxa"/>
            <w:vAlign w:val="bottom"/>
            <w:gridSpan w:val="13"/>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64"/>
        </w:trPr>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700" w:type="dxa"/>
            <w:vAlign w:val="bottom"/>
            <w:gridSpan w:val="15"/>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Forward-Looking Statements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700" w:type="dxa"/>
            <w:vAlign w:val="bottom"/>
            <w:gridSpan w:val="1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Balance Sheets as of September 30, 2003 (Unaudited) and December 31, 2002</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3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Condensed Consolidated Statements of Income (Unaudited) for the three and nine months ended September 30, 2003 and September</w:t>
              </w:r>
            </w:hyperlink>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4"/>
          </w:tcPr>
          <w:p>
            <w:pPr>
              <w:ind w:left="660"/>
              <w:spacing w:after="0" w:line="196" w:lineRule="exact"/>
              <w:rPr>
                <w:rFonts w:ascii="Times New Roman" w:cs="Times New Roman" w:eastAsia="Times New Roman" w:hAnsi="Times New Roman"/>
                <w:sz w:val="18"/>
                <w:szCs w:val="18"/>
                <w:color w:val="0000EE"/>
                <w:w w:val="91"/>
              </w:rPr>
            </w:pPr>
            <w:hyperlink w:anchor="page5">
              <w:r>
                <w:rPr>
                  <w:rFonts w:ascii="Times New Roman" w:cs="Times New Roman" w:eastAsia="Times New Roman" w:hAnsi="Times New Roman"/>
                  <w:sz w:val="18"/>
                  <w:szCs w:val="18"/>
                  <w:color w:val="0000EE"/>
                  <w:w w:val="91"/>
                </w:rPr>
                <w:t>30, 2002</w:t>
              </w:r>
            </w:hyperlink>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700" w:type="dxa"/>
            <w:vAlign w:val="bottom"/>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Cash Flows (Unaudited) for the nine months ended September 30, 2003 and September 30,</w:t>
              </w:r>
            </w:hyperlink>
          </w:p>
        </w:tc>
        <w:tc>
          <w:tcPr>
            <w:tcW w:w="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Borders>
              <w:top w:val="single" w:sz="8" w:color="0000EE"/>
            </w:tcBorders>
            <w:gridSpan w:val="2"/>
          </w:tcPr>
          <w:p>
            <w:pPr>
              <w:ind w:left="220"/>
              <w:spacing w:after="0" w:line="196"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2002</w:t>
              </w:r>
            </w:hyperlink>
          </w:p>
        </w:tc>
        <w:tc>
          <w:tcPr>
            <w:tcW w:w="2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2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700" w:type="dxa"/>
            <w:vAlign w:val="bottom"/>
            <w:gridSpan w:val="15"/>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the Condensed Consolidated Financial Statements (Unaudited)</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Management’s Discussion and Analysis of Financial Condition and Results of Operations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26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21">
              <w:r>
                <w:rPr>
                  <w:rFonts w:ascii="Times New Roman" w:cs="Times New Roman" w:eastAsia="Times New Roman" w:hAnsi="Times New Roman"/>
                  <w:sz w:val="18"/>
                  <w:szCs w:val="18"/>
                  <w:color w:val="0000EE"/>
                  <w:w w:val="97"/>
                </w:rPr>
                <w:t>Quantitative and Qualitative Disclosures About Market Risk</w:t>
              </w:r>
            </w:hyperlink>
          </w:p>
        </w:tc>
        <w:tc>
          <w:tcPr>
            <w:tcW w:w="2040" w:type="dxa"/>
            <w:vAlign w:val="bottom"/>
            <w:tcBorders>
              <w:top w:val="single" w:sz="8" w:color="0000EE"/>
            </w:tcBorders>
            <w:gridSpan w:val="2"/>
          </w:tcPr>
          <w:p>
            <w:pPr>
              <w:spacing w:after="0"/>
              <w:rPr>
                <w:sz w:val="24"/>
                <w:szCs w:val="24"/>
                <w:color w:val="auto"/>
              </w:rPr>
            </w:pPr>
          </w:p>
        </w:tc>
        <w:tc>
          <w:tcPr>
            <w:tcW w:w="384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gridSpan w:val="16"/>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Controls and Procedures</w:t>
              </w:r>
            </w:hyperlink>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343"/>
        </w:trPr>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60" w:type="dxa"/>
            <w:vAlign w:val="bottom"/>
            <w:gridSpan w:val="7"/>
          </w:tcPr>
          <w:p>
            <w:pPr>
              <w:jc w:val="center"/>
              <w:ind w:right="4000"/>
              <w:spacing w:after="0"/>
              <w:rPr>
                <w:sz w:val="20"/>
                <w:szCs w:val="20"/>
                <w:color w:val="auto"/>
              </w:rPr>
            </w:pPr>
            <w:r>
              <w:rPr>
                <w:rFonts w:ascii="Times New Roman" w:cs="Times New Roman" w:eastAsia="Times New Roman" w:hAnsi="Times New Roman"/>
                <w:sz w:val="18"/>
                <w:szCs w:val="18"/>
                <w:color w:val="auto"/>
                <w:w w:val="97"/>
              </w:rPr>
              <w:t>Part II. Other Information</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46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30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7"/>
              </w:rPr>
              <w:t>Changes in Securities and Use of Proceeds</w:t>
            </w:r>
          </w:p>
        </w:tc>
        <w:tc>
          <w:tcPr>
            <w:tcW w:w="712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2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7"/>
              </w:rPr>
              <w:t>Defaults Upon Senior Securities</w:t>
            </w:r>
          </w:p>
        </w:tc>
        <w:tc>
          <w:tcPr>
            <w:tcW w:w="786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Submission of Matters to a Vote of Security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36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64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014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Exhibits and Reports on Form 8-K</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30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7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5" w:right="23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79" w:lineRule="exact"/>
        <w:rPr>
          <w:sz w:val="20"/>
          <w:szCs w:val="20"/>
          <w:color w:val="auto"/>
        </w:rPr>
      </w:pPr>
    </w:p>
    <w:p>
      <w:pPr>
        <w:ind w:right="80" w:firstLine="456"/>
        <w:spacing w:after="0" w:line="290" w:lineRule="auto"/>
        <w:rPr>
          <w:sz w:val="20"/>
          <w:szCs w:val="20"/>
          <w:color w:val="auto"/>
        </w:rPr>
      </w:pPr>
      <w:r>
        <w:rPr>
          <w:rFonts w:ascii="Times New Roman" w:cs="Times New Roman" w:eastAsia="Times New Roman" w:hAnsi="Times New Roman"/>
          <w:sz w:val="16"/>
          <w:szCs w:val="16"/>
          <w:color w:val="auto"/>
        </w:rPr>
        <w:t>The following unaudited, condensed consolidated financial statements of World Fuel Services Corporation and Subsidiaries have been prepared in accordance with the instructions to Form 10-Q and, therefore, omit or condense certain footnotes and other information normally included in financial statements prepared in accordance with accounting principles generally accepted in the United States. In the opinion of management, all adjustments necessary for a fair presentation of the financial information for the interim periods reported have been made. Results of operations for the three and nine months ended September 30, 2003, will not be necessarily indicative of the results for the entire fiscal year. The condensed consolidated financial statements and notes thereto included in this Form 10-Q should be read in conjunction with the audited consolidated financial statements and notes thereto included in the Transition Report on Form 10-K (“10-K Report”) for the nine months ended December 31, 2002. World Fuel Services Corporation and Subsidiaries are collectively referred to in this Form 10-Q as “we,” “our” and “us.” Certain amounts in prior periods have been reclassified to conform to the current period presentation.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7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and Section 21E of the Securities Exchange Act of 1934. We intend the forward-looking statements to be covered by the safe harbor provisions for forward-looking statements in these sections. All statements regarding our expected financial position and operating results, our business strategy, our financing plans and forecasted demographic and economic trends relating to our industry are forward-looking statements. These statements can sometimes be identified by our use of forward-looking words such as “may,” “will,” “anticipate,” “estimate,” “expect,” or “intend” and similar expressions. These statements involve known and unknown risks, uncertainties and other factors that may cause our actual results, performance or achievements to be materially different from the results, performance or achievements expressed or implied by the forward-looking statements. We cannot promise you that our expectations in such forward-looking statements will turn out to be correct. Factors that impact such forward looking statements include, but are not limited to, quarterly fluctuations in results; the management of growth; fluctuations in world oil prices or foreign currency; changes in political, economic, regulatory or environmental conditions; the loss of key customers, suppliers or members of senior management; uninsured losses; competition; credit risk associated with accounts and notes receivable; and other risks detailed in this report and in our other Securities and Exchange Commission filings. A more detailed description of the principal risks in our business is set forth in “Risk Factors” in our 10-K Report for the nine months ended December 31, 2002. We undertake no obligation to update or revise publicly any forward-looking statements, whether as a result of new information, future events, or otherwise.</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45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7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Pr>
          <w:p>
            <w:pPr>
              <w:spacing w:after="0"/>
              <w:rPr>
                <w:sz w:val="20"/>
                <w:szCs w:val="20"/>
                <w:color w:val="auto"/>
              </w:rPr>
            </w:pPr>
          </w:p>
        </w:tc>
        <w:tc>
          <w:tcPr>
            <w:tcW w:w="9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8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67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2003</w:t>
            </w: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9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5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65,520</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Accounts and notes receivable, net of allowance for bad debts of $11,710 and $11,112 at September 30,</w:t>
            </w:r>
          </w:p>
        </w:tc>
        <w:tc>
          <w:tcPr>
            <w:tcW w:w="150" w:type="dxa"/>
            <w:vAlign w:val="bottom"/>
          </w:tcPr>
          <w:p>
            <w:pPr>
              <w:spacing w:after="0"/>
              <w:rPr>
                <w:sz w:val="17"/>
                <w:szCs w:val="17"/>
                <w:color w:val="auto"/>
              </w:rPr>
            </w:pPr>
          </w:p>
        </w:tc>
        <w:tc>
          <w:tcPr>
            <w:tcW w:w="67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8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2003 and December 31, 2002, respectively</w:t>
            </w:r>
          </w:p>
        </w:tc>
        <w:tc>
          <w:tcPr>
            <w:tcW w:w="15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167,552</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5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27,460</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assets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277,105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262,580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0" w:type="dxa"/>
            <w:vAlign w:val="bottom"/>
          </w:tcPr>
          <w:p>
            <w:pPr>
              <w:spacing w:after="0"/>
              <w:rPr>
                <w:sz w:val="24"/>
                <w:szCs w:val="24"/>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50" w:type="dxa"/>
            <w:vAlign w:val="bottom"/>
          </w:tcPr>
          <w:p>
            <w:pPr>
              <w:spacing w:after="0"/>
              <w:rPr>
                <w:sz w:val="9"/>
                <w:szCs w:val="9"/>
                <w:color w:val="auto"/>
              </w:rPr>
            </w:pPr>
          </w:p>
        </w:tc>
        <w:tc>
          <w:tcPr>
            <w:tcW w:w="67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Goodwill, net of amortization of $3,490</w:t>
            </w: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34,003</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Identifiable intangible asset, net of amortization of $644 and $368 at September 30, 2003 and December 31,</w:t>
            </w:r>
          </w:p>
        </w:tc>
        <w:tc>
          <w:tcPr>
            <w:tcW w:w="150" w:type="dxa"/>
            <w:vAlign w:val="bottom"/>
            <w:shd w:val="clear" w:color="auto" w:fill="CCEEFF"/>
          </w:tcPr>
          <w:p>
            <w:pPr>
              <w:spacing w:after="0"/>
              <w:rPr>
                <w:sz w:val="17"/>
                <w:szCs w:val="17"/>
                <w:color w:val="auto"/>
              </w:rPr>
            </w:pPr>
          </w:p>
        </w:tc>
        <w:tc>
          <w:tcPr>
            <w:tcW w:w="67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2002, respectively</w:t>
            </w:r>
          </w:p>
        </w:tc>
        <w:tc>
          <w:tcPr>
            <w:tcW w:w="150" w:type="dxa"/>
            <w:vAlign w:val="bottom"/>
            <w:shd w:val="clear" w:color="auto" w:fill="CCEEFF"/>
          </w:tcPr>
          <w:p>
            <w:pPr>
              <w:spacing w:after="0"/>
              <w:rPr>
                <w:sz w:val="20"/>
                <w:szCs w:val="20"/>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5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8820" w:type="dxa"/>
            <w:vAlign w:val="bottom"/>
          </w:tcPr>
          <w:p>
            <w:pPr>
              <w:spacing w:after="0"/>
              <w:rPr>
                <w:sz w:val="9"/>
                <w:szCs w:val="9"/>
                <w:color w:val="auto"/>
              </w:rPr>
            </w:pPr>
          </w:p>
        </w:tc>
        <w:tc>
          <w:tcPr>
            <w:tcW w:w="150" w:type="dxa"/>
            <w:vAlign w:val="bottom"/>
          </w:tcPr>
          <w:p>
            <w:pPr>
              <w:spacing w:after="0"/>
              <w:rPr>
                <w:sz w:val="9"/>
                <w:szCs w:val="9"/>
                <w:color w:val="auto"/>
              </w:rPr>
            </w:pPr>
          </w:p>
        </w:tc>
        <w:tc>
          <w:tcPr>
            <w:tcW w:w="67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5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Short-term debt</w:t>
            </w:r>
          </w:p>
        </w:tc>
        <w:tc>
          <w:tcPr>
            <w:tcW w:w="15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100,342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50,634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50" w:type="dxa"/>
            <w:vAlign w:val="bottom"/>
          </w:tcPr>
          <w:p>
            <w:pPr>
              <w:spacing w:after="0"/>
              <w:rPr>
                <w:sz w:val="19"/>
                <w:szCs w:val="19"/>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21,741</w:t>
            </w: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174,263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180,359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50" w:type="dxa"/>
            <w:vAlign w:val="bottom"/>
          </w:tcPr>
          <w:p>
            <w:pPr>
              <w:spacing w:after="0"/>
              <w:rPr>
                <w:sz w:val="24"/>
                <w:szCs w:val="24"/>
                <w:color w:val="auto"/>
              </w:rPr>
            </w:pPr>
          </w:p>
        </w:tc>
        <w:tc>
          <w:tcPr>
            <w:tcW w:w="67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8820" w:type="dxa"/>
            <w:vAlign w:val="bottom"/>
          </w:tcPr>
          <w:p>
            <w:pPr>
              <w:spacing w:after="0"/>
              <w:rPr>
                <w:sz w:val="6"/>
                <w:szCs w:val="6"/>
                <w:color w:val="auto"/>
              </w:rPr>
            </w:pPr>
          </w:p>
        </w:tc>
        <w:tc>
          <w:tcPr>
            <w:tcW w:w="150" w:type="dxa"/>
            <w:vAlign w:val="bottom"/>
          </w:tcPr>
          <w:p>
            <w:pPr>
              <w:spacing w:after="0"/>
              <w:rPr>
                <w:sz w:val="6"/>
                <w:szCs w:val="6"/>
                <w:color w:val="auto"/>
              </w:rPr>
            </w:pPr>
          </w:p>
        </w:tc>
        <w:tc>
          <w:tcPr>
            <w:tcW w:w="67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$1.00 par value; shares of 100 authorized, none issued</w:t>
            </w:r>
          </w:p>
        </w:tc>
        <w:tc>
          <w:tcPr>
            <w:tcW w:w="150" w:type="dxa"/>
            <w:vAlign w:val="bottom"/>
            <w:shd w:val="clear" w:color="auto" w:fill="CCEEFF"/>
          </w:tcPr>
          <w:p>
            <w:pPr>
              <w:spacing w:after="0"/>
              <w:rPr>
                <w:sz w:val="18"/>
                <w:szCs w:val="18"/>
                <w:color w:val="auto"/>
              </w:rPr>
            </w:pPr>
          </w:p>
        </w:tc>
        <w:tc>
          <w:tcPr>
            <w:tcW w:w="83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$0.01 par value; shares of 25,000 authorized; shares of 12,765 issued and outstanding</w:t>
            </w: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34,561</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50" w:type="dxa"/>
            <w:vAlign w:val="bottom"/>
          </w:tcPr>
          <w:p>
            <w:pPr>
              <w:spacing w:after="0"/>
              <w:rPr>
                <w:sz w:val="18"/>
                <w:szCs w:val="18"/>
                <w:color w:val="auto"/>
              </w:rPr>
            </w:pPr>
          </w:p>
        </w:tc>
        <w:tc>
          <w:tcPr>
            <w:tcW w:w="67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128,162</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deferred compensation</w:t>
            </w:r>
          </w:p>
        </w:tc>
        <w:tc>
          <w:tcPr>
            <w:tcW w:w="150" w:type="dxa"/>
            <w:vAlign w:val="bottom"/>
            <w:shd w:val="clear" w:color="auto" w:fill="CCEEFF"/>
          </w:tcPr>
          <w:p>
            <w:pPr>
              <w:spacing w:after="0"/>
              <w:rPr>
                <w:sz w:val="18"/>
                <w:szCs w:val="18"/>
                <w:color w:val="auto"/>
              </w:rPr>
            </w:pPr>
          </w:p>
        </w:tc>
        <w:tc>
          <w:tcPr>
            <w:tcW w:w="83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(2,987)</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20" w:type="dxa"/>
            <w:vAlign w:val="bottom"/>
          </w:tcPr>
          <w:p>
            <w:pPr>
              <w:spacing w:after="0"/>
              <w:rPr>
                <w:sz w:val="20"/>
                <w:szCs w:val="20"/>
                <w:color w:val="auto"/>
              </w:rPr>
            </w:pPr>
            <w:r>
              <w:rPr>
                <w:rFonts w:ascii="Times New Roman" w:cs="Times New Roman" w:eastAsia="Times New Roman" w:hAnsi="Times New Roman"/>
                <w:sz w:val="18"/>
                <w:szCs w:val="18"/>
                <w:color w:val="auto"/>
              </w:rPr>
              <w:t>Treasury stock, at cost; shares of 1,988 and 2,071 at September 30, 2003 and December 31, 2002, respectively</w:t>
            </w:r>
          </w:p>
        </w:tc>
        <w:tc>
          <w:tcPr>
            <w:tcW w:w="150" w:type="dxa"/>
            <w:vAlign w:val="bottom"/>
          </w:tcPr>
          <w:p>
            <w:pPr>
              <w:spacing w:after="0"/>
              <w:rPr>
                <w:sz w:val="19"/>
                <w:szCs w:val="19"/>
                <w:color w:val="auto"/>
              </w:rPr>
            </w:pPr>
          </w:p>
        </w:tc>
        <w:tc>
          <w:tcPr>
            <w:tcW w:w="83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(16,741)</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(17,441)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67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18"/>
                <w:szCs w:val="18"/>
                <w:color w:val="auto"/>
              </w:rPr>
            </w:pP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143,123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82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67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820" w:type="dxa"/>
            <w:vAlign w:val="bottom"/>
          </w:tcPr>
          <w:p>
            <w:pPr>
              <w:spacing w:after="0"/>
              <w:rPr>
                <w:sz w:val="8"/>
                <w:szCs w:val="8"/>
                <w:color w:val="auto"/>
              </w:rPr>
            </w:pPr>
          </w:p>
        </w:tc>
        <w:tc>
          <w:tcPr>
            <w:tcW w:w="150" w:type="dxa"/>
            <w:vAlign w:val="bottom"/>
          </w:tcPr>
          <w:p>
            <w:pPr>
              <w:spacing w:after="0"/>
              <w:rPr>
                <w:sz w:val="8"/>
                <w:szCs w:val="8"/>
                <w:color w:val="auto"/>
              </w:rPr>
            </w:pPr>
          </w:p>
        </w:tc>
        <w:tc>
          <w:tcPr>
            <w:tcW w:w="67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18"/>
                <w:szCs w:val="18"/>
                <w:color w:val="auto"/>
              </w:rPr>
            </w:pPr>
          </w:p>
        </w:tc>
        <w:tc>
          <w:tcPr>
            <w:tcW w:w="15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7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326,258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8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67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-3545205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-3545205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-3545205</wp:posOffset>
            </wp:positionV>
            <wp:extent cx="3873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-3545205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-3545205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-3545205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45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(UNAUDITED - IN THOUSANDS, EXCEPT PER SHARE DATA)</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6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20" w:type="dxa"/>
            <w:vAlign w:val="bottom"/>
          </w:tcPr>
          <w:p>
            <w:pPr>
              <w:spacing w:after="0"/>
              <w:rPr>
                <w:sz w:val="13"/>
                <w:szCs w:val="13"/>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120" w:type="dxa"/>
            <w:vAlign w:val="bottom"/>
          </w:tcPr>
          <w:p>
            <w:pPr>
              <w:spacing w:after="0"/>
              <w:rPr>
                <w:sz w:val="15"/>
                <w:szCs w:val="15"/>
                <w:color w:val="auto"/>
              </w:rPr>
            </w:pPr>
          </w:p>
        </w:tc>
        <w:tc>
          <w:tcPr>
            <w:tcW w:w="24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2003</w:t>
            </w: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2002</w:t>
            </w: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2003</w:t>
            </w: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652,301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510,601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1,956,219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(627,766)</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6"/>
              </w:rPr>
              <w:t>(490,467)</w:t>
            </w:r>
          </w:p>
        </w:tc>
        <w:tc>
          <w:tcPr>
            <w:tcW w:w="12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w w:val="95"/>
              </w:rPr>
              <w:t>(1,878,891)</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(1,259,408)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20,134</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Salaries and wages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(9,198)</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(7,501)</w:t>
            </w: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(29,943)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Executive severance charges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(4,492)</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(1,535)</w:t>
            </w:r>
          </w:p>
        </w:tc>
        <w:tc>
          <w:tcPr>
            <w:tcW w:w="100" w:type="dxa"/>
            <w:vAlign w:val="bottom"/>
          </w:tcPr>
          <w:p>
            <w:pPr>
              <w:spacing w:after="0"/>
              <w:rPr>
                <w:sz w:val="18"/>
                <w:szCs w:val="18"/>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tcPr>
          <w:p>
            <w:pPr>
              <w:spacing w:after="0"/>
              <w:rPr>
                <w:sz w:val="18"/>
                <w:szCs w:val="18"/>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(5,473)</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(6,638)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(6,231)</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(22,049)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(18,192)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(17,371)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(19,029)</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(57,465)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(48,029)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Non-recurring charge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(1,577)</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net</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(1,537)</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100" w:type="dxa"/>
            <w:vAlign w:val="bottom"/>
          </w:tcPr>
          <w:p>
            <w:pPr>
              <w:spacing w:after="0"/>
              <w:rPr>
                <w:sz w:val="19"/>
                <w:szCs w:val="19"/>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(3,930)</w:t>
            </w:r>
          </w:p>
        </w:tc>
        <w:tc>
          <w:tcPr>
            <w:tcW w:w="10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(1,987)</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3896360</wp:posOffset>
            </wp:positionH>
            <wp:positionV relativeFrom="paragraph">
              <wp:posOffset>-1229995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-1229995</wp:posOffset>
            </wp:positionV>
            <wp:extent cx="2159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-1229995</wp:posOffset>
            </wp:positionV>
            <wp:extent cx="3873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-1229995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-1229995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-1229995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-1229995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-1229995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-1229995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-1229995</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-1229995</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-1229995</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-929640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-929640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-929640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-929640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-929640</wp:posOffset>
            </wp:positionV>
            <wp:extent cx="2159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-929640</wp:posOffset>
            </wp:positionV>
            <wp:extent cx="3873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-929640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-929640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-929640</wp:posOffset>
            </wp:positionV>
            <wp:extent cx="3873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-929640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-929640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-929640</wp:posOffset>
            </wp:positionV>
            <wp:extent cx="3873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-629285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-629285</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-629285</wp:posOffset>
            </wp:positionV>
            <wp:extent cx="3873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-629285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-629285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-629285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-629285</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-629285</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-629285</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-629285</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-629285</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-629285</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-329565</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-329565</wp:posOffset>
            </wp:positionV>
            <wp:extent cx="2159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-329565</wp:posOffset>
            </wp:positionV>
            <wp:extent cx="3873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-329565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-329565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-329565</wp:posOffset>
            </wp:positionV>
            <wp:extent cx="3873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-329565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-329565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-329565</wp:posOffset>
            </wp:positionV>
            <wp:extent cx="3873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-329565</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-329565</wp:posOffset>
            </wp:positionV>
            <wp:extent cx="2159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3896360</wp:posOffset>
            </wp:positionH>
            <wp:positionV relativeFrom="paragraph">
              <wp:posOffset>-29210</wp:posOffset>
            </wp:positionV>
            <wp:extent cx="1270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-29210</wp:posOffset>
            </wp:positionV>
            <wp:extent cx="2159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-29210</wp:posOffset>
            </wp:positionV>
            <wp:extent cx="3873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-29210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-29210</wp:posOffset>
            </wp:positionV>
            <wp:extent cx="21590"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-29210</wp:posOffset>
            </wp:positionV>
            <wp:extent cx="3873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5654675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6203315</wp:posOffset>
            </wp:positionH>
            <wp:positionV relativeFrom="paragraph">
              <wp:posOffset>-29210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6623685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6683375</wp:posOffset>
            </wp:positionH>
            <wp:positionV relativeFrom="paragraph">
              <wp:posOffset>-29210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45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 IN THOUSANDS)</w:t>
      </w:r>
    </w:p>
    <w:p>
      <w:pPr>
        <w:spacing w:after="0" w:line="143" w:lineRule="exact"/>
        <w:rPr>
          <w:sz w:val="20"/>
          <w:szCs w:val="20"/>
          <w:color w:val="auto"/>
        </w:rPr>
      </w:pPr>
    </w:p>
    <w:p>
      <w:pPr>
        <w:ind w:left="972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5930900</wp:posOffset>
            </wp:positionH>
            <wp:positionV relativeFrom="paragraph">
              <wp:posOffset>60325</wp:posOffset>
            </wp:positionV>
            <wp:extent cx="12522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9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2003</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 -</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Provision for bad debts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Non-recurring charge</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Earnings from aviation joint ventures, net</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Unearned deferred compensation amortization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Other non-cash operating charges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and notes receivable</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(56,645)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w w:val="97"/>
              </w:rPr>
              <w:t>(11,429)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(2,680)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w w:val="97"/>
              </w:rPr>
              <w:t>(12,620)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7,659</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2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Deferred compensation</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720"/>
              <w:spacing w:after="0"/>
              <w:rPr>
                <w:sz w:val="20"/>
                <w:szCs w:val="20"/>
                <w:color w:val="auto"/>
              </w:rPr>
            </w:pPr>
            <w:r>
              <w:rPr>
                <w:rFonts w:ascii="Times New Roman" w:cs="Times New Roman" w:eastAsia="Times New Roman" w:hAnsi="Times New Roman"/>
                <w:sz w:val="18"/>
                <w:szCs w:val="18"/>
                <w:color w:val="auto"/>
              </w:rPr>
              <w:t>Total adjustments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(6,554)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Payment for acquisition of business</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(2,635)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(6,916)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10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(2,393)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Borrowings under revolving credit facility, net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debt</w:t>
            </w: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(2,527)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Discontinued operations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57,776</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Interest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Income taxes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-904240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-904240</wp:posOffset>
            </wp:positionV>
            <wp:extent cx="2159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-904240</wp:posOffset>
            </wp:positionV>
            <wp:extent cx="3873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-904240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-904240</wp:posOffset>
            </wp:positionV>
            <wp:extent cx="2159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-904240</wp:posOffset>
            </wp:positionV>
            <wp:extent cx="3873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-329565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-329565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-329565</wp:posOffset>
            </wp:positionV>
            <wp:extent cx="3873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-329565</wp:posOffset>
            </wp:positionV>
            <wp:extent cx="1270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2159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-329565</wp:posOffset>
            </wp:positionV>
            <wp:extent cx="3873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-29210</wp:posOffset>
            </wp:positionV>
            <wp:extent cx="2159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6340475</wp:posOffset>
            </wp:positionH>
            <wp:positionV relativeFrom="paragraph">
              <wp:posOffset>-29210</wp:posOffset>
            </wp:positionV>
            <wp:extent cx="3873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6760845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2159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-29210</wp:posOffset>
            </wp:positionV>
            <wp:extent cx="3873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455" w:right="239" w:bottom="1122"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420"/>
          </w:cols>
          <w:pgMar w:left="240" w:top="455" w:right="239" w:bottom="1122" w:gutter="0" w:footer="0" w:header="0"/>
          <w:type w:val="continuous"/>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WORLD FUEL SERVICES CORPORATION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145"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paid cash and issued notes payable in connection with certain acquisitions of businesses accounted for under the purchase method during the nine months ended September 30, 2002. There were no acquisitions during the nine months ended September 30, 2003. The following reconciles the fair values of the assets acquired, liabilities assumed, and promissory notes issued with cash paid (in thousands):</w:t>
      </w:r>
    </w:p>
    <w:p>
      <w:pPr>
        <w:spacing w:after="0" w:line="11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904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60325</wp:posOffset>
            </wp:positionV>
            <wp:extent cx="13893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0"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Identifiable intangible assets</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notes, short-term portion</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2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Promissory notes, long-term portion</w:t>
            </w:r>
          </w:p>
        </w:tc>
        <w:tc>
          <w:tcPr>
            <w:tcW w:w="2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60" w:type="dxa"/>
            <w:vAlign w:val="bottom"/>
          </w:tcPr>
          <w:p>
            <w:pPr>
              <w:spacing w:after="0"/>
              <w:rPr>
                <w:sz w:val="8"/>
                <w:szCs w:val="8"/>
                <w:color w:val="auto"/>
              </w:rPr>
            </w:pPr>
          </w:p>
        </w:tc>
        <w:tc>
          <w:tcPr>
            <w:tcW w:w="2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paid</w:t>
            </w:r>
          </w:p>
        </w:tc>
        <w:tc>
          <w:tcPr>
            <w:tcW w:w="28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-29210</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-29210</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-29210</wp:posOffset>
            </wp:positionV>
            <wp:extent cx="2159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2159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Schedule of Noncash Investing and Financing Activities:</w:t>
      </w:r>
    </w:p>
    <w:p>
      <w:pPr>
        <w:spacing w:after="0" w:line="79" w:lineRule="exact"/>
        <w:rPr>
          <w:sz w:val="20"/>
          <w:szCs w:val="20"/>
          <w:color w:val="auto"/>
        </w:rPr>
      </w:pPr>
    </w:p>
    <w:p>
      <w:pPr>
        <w:ind w:left="460" w:right="500" w:firstLine="438"/>
        <w:spacing w:after="0" w:line="275" w:lineRule="auto"/>
        <w:rPr>
          <w:sz w:val="20"/>
          <w:szCs w:val="20"/>
          <w:color w:val="auto"/>
        </w:rPr>
      </w:pPr>
      <w:r>
        <w:rPr>
          <w:rFonts w:ascii="Times New Roman" w:cs="Times New Roman" w:eastAsia="Times New Roman" w:hAnsi="Times New Roman"/>
          <w:sz w:val="18"/>
          <w:szCs w:val="18"/>
          <w:color w:val="auto"/>
        </w:rPr>
        <w:t>Cash dividends declared, but not yet paid, totaled $821 thousand and $791 thousand at September 30, 2003 and 2002, respectively, and paid in October 2003 and 2002, respectively.</w:t>
      </w:r>
    </w:p>
    <w:p>
      <w:pPr>
        <w:spacing w:after="0" w:line="25" w:lineRule="exact"/>
        <w:rPr>
          <w:sz w:val="20"/>
          <w:szCs w:val="20"/>
          <w:color w:val="auto"/>
        </w:rPr>
      </w:pPr>
    </w:p>
    <w:p>
      <w:pPr>
        <w:jc w:val="both"/>
        <w:ind w:left="460" w:right="340" w:firstLine="438"/>
        <w:spacing w:after="0" w:line="262" w:lineRule="auto"/>
        <w:rPr>
          <w:sz w:val="20"/>
          <w:szCs w:val="20"/>
          <w:color w:val="auto"/>
        </w:rPr>
      </w:pPr>
      <w:r>
        <w:rPr>
          <w:rFonts w:ascii="Times New Roman" w:cs="Times New Roman" w:eastAsia="Times New Roman" w:hAnsi="Times New Roman"/>
          <w:sz w:val="18"/>
          <w:szCs w:val="18"/>
          <w:color w:val="auto"/>
        </w:rPr>
        <w:t>In connection with an acquisition of business in January 2002, we assumed short-term debt of $1.5 million and issued a $3.3 million non-interest bearing promissory note, which was discounted to $3.0 million using an interest rate of approximately 5.0%, payable annually over three years through January 2005.</w:t>
      </w:r>
    </w:p>
    <w:p>
      <w:pPr>
        <w:spacing w:after="0" w:line="38" w:lineRule="exact"/>
        <w:rPr>
          <w:sz w:val="20"/>
          <w:szCs w:val="20"/>
          <w:color w:val="auto"/>
        </w:rPr>
      </w:pPr>
    </w:p>
    <w:p>
      <w:pPr>
        <w:ind w:left="460" w:right="120" w:firstLine="438"/>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2003, in connection with the construction of leasehold improvements at our new corporate office, we recorded leasehold improvements and its related deferred rental credit of $315 thousand, which was paid by the landlord as an office construction allowance. For our new corporate office, we received office construction allowance totaling $1.2 million, which was recorded as deferred rental credit and included in Long-term liabilities. Deferred rental credit is being amortized on a straight-line basis over the lease period of 10 years for the new corporate office.</w:t>
      </w:r>
    </w:p>
    <w:p>
      <w:pPr>
        <w:spacing w:after="0" w:line="44" w:lineRule="exact"/>
        <w:rPr>
          <w:sz w:val="20"/>
          <w:szCs w:val="20"/>
          <w:color w:val="auto"/>
        </w:rPr>
      </w:pPr>
    </w:p>
    <w:p>
      <w:pPr>
        <w:ind w:left="460" w:firstLine="438"/>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2003, we recorded Unearned deferred compensation totaling $1.7 million relating to shares of restricted common stock granted to our employees and options granted to both our employees and non-employee directors under the 2001 Omnibus Plan. Unearned deferred compensation was recorded based on the grant date and is being amortized over the minimum vesting period of each individual stock and/or option grant.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455" w:right="2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left="420" w:right="2460"/>
        <w:spacing w:after="0" w:line="264" w:lineRule="auto"/>
        <w:rPr>
          <w:sz w:val="20"/>
          <w:szCs w:val="20"/>
          <w:color w:val="auto"/>
        </w:rPr>
      </w:pPr>
      <w:r>
        <w:rPr>
          <w:rFonts w:ascii="Times New Roman" w:cs="Times New Roman" w:eastAsia="Times New Roman" w:hAnsi="Times New Roman"/>
          <w:sz w:val="18"/>
          <w:szCs w:val="18"/>
          <w:b w:val="1"/>
          <w:bCs w:val="1"/>
          <w:color w:val="auto"/>
        </w:rPr>
        <w:t>WORLD FUEL SERVICES CORPORATION AND SUBSIDIARIES NOTES TO THE CONDENSED CONSOLIDATED FINANCIAL STATEMENTS (UNAUDITED)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79" w:lineRule="exact"/>
        <w:rPr>
          <w:sz w:val="20"/>
          <w:szCs w:val="20"/>
          <w:color w:val="auto"/>
        </w:rPr>
      </w:pPr>
    </w:p>
    <w:p>
      <w:pPr>
        <w:ind w:right="300" w:firstLine="456"/>
        <w:spacing w:after="0" w:line="275" w:lineRule="auto"/>
        <w:rPr>
          <w:sz w:val="20"/>
          <w:szCs w:val="20"/>
          <w:color w:val="auto"/>
        </w:rPr>
      </w:pPr>
      <w:r>
        <w:rPr>
          <w:rFonts w:ascii="Times New Roman" w:cs="Times New Roman" w:eastAsia="Times New Roman" w:hAnsi="Times New Roman"/>
          <w:sz w:val="18"/>
          <w:szCs w:val="18"/>
          <w:color w:val="auto"/>
        </w:rPr>
        <w:t>The accounting polices followed for quarterly financial reporting are the same as those disclosed in Note 1 of the Notes to the Consolidated Financial Statements included in our 10-K Report for the nine months ended December 31,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Debt</w:t>
      </w:r>
    </w:p>
    <w:p>
      <w:pPr>
        <w:spacing w:after="0" w:line="79" w:lineRule="exact"/>
        <w:rPr>
          <w:sz w:val="20"/>
          <w:szCs w:val="20"/>
          <w:color w:val="auto"/>
        </w:rPr>
      </w:pPr>
    </w:p>
    <w:p>
      <w:pPr>
        <w:ind w:firstLine="456"/>
        <w:spacing w:after="0" w:line="339" w:lineRule="auto"/>
        <w:rPr>
          <w:sz w:val="20"/>
          <w:szCs w:val="20"/>
          <w:color w:val="auto"/>
        </w:rPr>
      </w:pPr>
      <w:r>
        <w:rPr>
          <w:rFonts w:ascii="Times New Roman" w:cs="Times New Roman" w:eastAsia="Times New Roman" w:hAnsi="Times New Roman"/>
          <w:sz w:val="16"/>
          <w:szCs w:val="16"/>
          <w:color w:val="auto"/>
        </w:rPr>
        <w:t>As of September 30, 2003, we borrowed $5.0 million and issued letters of credit of $16.2 million. A majority of these letters of credit, provided to certain suppliers under the normal course of business, expire within one year from their issuance. Expiring letters of credit are renewed on an as needed basis.</w:t>
      </w:r>
    </w:p>
    <w:p>
      <w:pPr>
        <w:spacing w:after="0" w:line="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debt consisted of the following (in thousands):</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50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2003</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Promissory notes issued in connection with business acquisitions, including the investment in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aviation joint venture: 7.0% promissory note, payable annually through April 2003 with the</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last installment paid in April 2003.</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160" w:type="dxa"/>
            <w:vAlign w:val="bottom"/>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Non-interest bearing promissory note of $2.5 million, payable annually through January</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2006, net of unamortized imputed discount (at 9.0%) of $141 thousand and $226</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thousand at September 30, 2003 and December 31, 2002, respectively.</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1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Non-interest bearing promissory note of $3.3 million, payable annually through January</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2005, net of unamortized imputed discount (at 5.0%) of $77 thousand and $152</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thousand at September 30, 2003 and December 31, 2002, respectively.</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Total Debt</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Short-term Debt</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Long-term Debt</w:t>
            </w:r>
          </w:p>
        </w:tc>
        <w:tc>
          <w:tcPr>
            <w:tcW w:w="70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-629285</wp:posOffset>
            </wp:positionV>
            <wp:extent cx="51879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-629285</wp:posOffset>
            </wp:positionV>
            <wp:extent cx="50165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-329565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-329565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-329565</wp:posOffset>
            </wp:positionV>
            <wp:extent cx="2159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-329565</wp:posOffset>
            </wp:positionV>
            <wp:extent cx="50165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-29210</wp:posOffset>
            </wp:positionV>
            <wp:extent cx="51879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8795"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2159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September 30, 2003, the aggregate annual maturities of debt, net of unamortized imputed discount, are as follows (in thousands):</w:t>
      </w:r>
    </w:p>
    <w:p>
      <w:pPr>
        <w:spacing w:after="0" w:line="15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4"/>
          <w:szCs w:val="14"/>
          <w:b w:val="1"/>
          <w:bCs w:val="1"/>
          <w:color w:val="auto"/>
        </w:rPr>
        <w:t>For the Twelve Months Ending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71120</wp:posOffset>
            </wp:positionV>
            <wp:extent cx="218694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1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1860" w:type="dxa"/>
            <w:vAlign w:val="bottom"/>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w w:val="88"/>
              </w:rPr>
              <w:t>2004</w:t>
            </w:r>
          </w:p>
        </w:tc>
        <w:tc>
          <w:tcPr>
            <w:tcW w:w="4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jc w:val="right"/>
              <w:ind w:right="1432"/>
              <w:spacing w:after="0"/>
              <w:rPr>
                <w:sz w:val="20"/>
                <w:szCs w:val="20"/>
                <w:color w:val="auto"/>
              </w:rPr>
            </w:pPr>
            <w:r>
              <w:rPr>
                <w:rFonts w:ascii="Times New Roman" w:cs="Times New Roman" w:eastAsia="Times New Roman" w:hAnsi="Times New Roman"/>
                <w:sz w:val="18"/>
                <w:szCs w:val="18"/>
                <w:color w:val="auto"/>
                <w:w w:val="88"/>
              </w:rPr>
              <w:t>2005</w:t>
            </w:r>
          </w:p>
        </w:tc>
        <w:tc>
          <w:tcPr>
            <w:tcW w:w="4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w w:val="88"/>
              </w:rPr>
              <w:t>2006</w:t>
            </w:r>
          </w:p>
        </w:tc>
        <w:tc>
          <w:tcPr>
            <w:tcW w:w="4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60" w:type="dxa"/>
            <w:vAlign w:val="bottom"/>
          </w:tcPr>
          <w:p>
            <w:pPr>
              <w:spacing w:after="0"/>
              <w:rPr>
                <w:sz w:val="9"/>
                <w:szCs w:val="9"/>
                <w:color w:val="auto"/>
              </w:rPr>
            </w:pPr>
          </w:p>
        </w:tc>
        <w:tc>
          <w:tcPr>
            <w:tcW w:w="44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8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18"/>
                <w:szCs w:val="18"/>
                <w:color w:val="auto"/>
              </w:rPr>
            </w:pPr>
          </w:p>
        </w:tc>
        <w:tc>
          <w:tcPr>
            <w:tcW w:w="4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860" w:type="dxa"/>
            <w:vAlign w:val="bottom"/>
          </w:tcPr>
          <w:p>
            <w:pPr>
              <w:spacing w:after="0"/>
              <w:rPr>
                <w:sz w:val="11"/>
                <w:szCs w:val="11"/>
                <w:color w:val="auto"/>
              </w:rPr>
            </w:pPr>
          </w:p>
        </w:tc>
        <w:tc>
          <w:tcPr>
            <w:tcW w:w="4480" w:type="dxa"/>
            <w:vAlign w:val="bottom"/>
            <w:vMerge w:val="restart"/>
          </w:tcPr>
          <w:p>
            <w:pPr>
              <w:jc w:val="right"/>
              <w:ind w:right="2792"/>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86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5483225</wp:posOffset>
            </wp:positionH>
            <wp:positionV relativeFrom="paragraph">
              <wp:posOffset>-325755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-325755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5534660</wp:posOffset>
            </wp:positionH>
            <wp:positionV relativeFrom="paragraph">
              <wp:posOffset>-325755</wp:posOffset>
            </wp:positionV>
            <wp:extent cx="2159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260"/>
          </w:cols>
          <w:pgMar w:left="240" w:top="455" w:right="39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Comprehensive Income</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significant items of other comprehensive income, and thus, net income is equal to comprehensive income for all periods presented.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Earnings Per Share</w:t>
      </w:r>
    </w:p>
    <w:p>
      <w:pPr>
        <w:spacing w:after="0" w:line="79"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Basic earnings per share are computed based on the weighted average number of common shares outstanding. Diluted earnings per share are based on the sum of the weighted average number of common shares outstanding, non-vested restricted common stock and common stock equivalents arising out of employee stock options and non-employee stock options and warrants. Our net income is the same for basic and diluted earnings per share calculations.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Shares used to calculate earnings per share are as follows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164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580" w:type="dxa"/>
            <w:vAlign w:val="bottom"/>
          </w:tcPr>
          <w:p>
            <w:pPr>
              <w:spacing w:after="0"/>
              <w:rPr>
                <w:sz w:val="15"/>
                <w:szCs w:val="15"/>
                <w:color w:val="auto"/>
              </w:rPr>
            </w:pPr>
          </w:p>
        </w:tc>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80" w:type="dxa"/>
            <w:vAlign w:val="bottom"/>
          </w:tcPr>
          <w:p>
            <w:pPr>
              <w:spacing w:after="0"/>
              <w:rPr>
                <w:sz w:val="22"/>
                <w:szCs w:val="22"/>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20" w:type="dxa"/>
            <w:vAlign w:val="bottom"/>
            <w:gridSpan w:val="4"/>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2003</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5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10,468</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10,604</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weighted average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equivalents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58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used in the calculation of diluted earnings per share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10,876</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11,123</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subject to stock options and warrants included in the</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determination of common stock equivalents for the calculation of diluted earnings</w:t>
            </w:r>
          </w:p>
        </w:tc>
        <w:tc>
          <w:tcPr>
            <w:tcW w:w="6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per share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Weighted average shares subject to stock options which were not included in the</w:t>
            </w:r>
          </w:p>
        </w:tc>
        <w:tc>
          <w:tcPr>
            <w:tcW w:w="6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calculation of diluted earnings per share because their impact is antidilutive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58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-1041400</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-1041400</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-1041400</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-1041400</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-1041400</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-1041400</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-1041400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-1041400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-466725</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-466725</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-466725</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-466725</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-466725</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-466725</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-466725</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-466725</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and Non-Employee Director Stock Options</w:t>
      </w:r>
    </w:p>
    <w:p>
      <w:pPr>
        <w:spacing w:after="0" w:line="79" w:lineRule="exact"/>
        <w:rPr>
          <w:sz w:val="20"/>
          <w:szCs w:val="20"/>
          <w:color w:val="auto"/>
        </w:rPr>
      </w:pPr>
    </w:p>
    <w:p>
      <w:pPr>
        <w:ind w:left="460" w:right="40"/>
        <w:spacing w:after="0" w:line="254" w:lineRule="auto"/>
        <w:rPr>
          <w:sz w:val="20"/>
          <w:szCs w:val="20"/>
          <w:color w:val="auto"/>
        </w:rPr>
      </w:pPr>
      <w:r>
        <w:rPr>
          <w:rFonts w:ascii="Times New Roman" w:cs="Times New Roman" w:eastAsia="Times New Roman" w:hAnsi="Times New Roman"/>
          <w:sz w:val="18"/>
          <w:szCs w:val="18"/>
          <w:color w:val="auto"/>
        </w:rPr>
        <w:t>Effective April 1, 2002, we adopted the accounting provision of Statement of Financial Accounting Standards (“SFAS”) No. 123, “Accounting for Stock-Based Compensation,” as amended by SFAS No. 148, “Accounting for Stock-Based Compensation – Transition and Disclosure, an amendment of FASB Statement No. 123,” to account for stock options granted to our employees and non-employee directors using the prospective method. Under the fair value recognition provision, as of the grant date, we recorded the fair value of the stock options granted as Unearned deferred compensation, which is amortized over the minimum vesting period of each individual award as compensation cost. For stock options granted prior to April 1, 2002, we continued using the intrinsic value method of Accounting Principles Board Opinion No. 25, Accounting for Stock Issued to Employee,” and related interpretations. Accordingly, no compensation expense has been recognized for such stock options when the exercise price was at or above market price of our common stock on the date of grant. As required, the following table reflects pro forma net income and</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60"/>
          </w:cols>
          <w:pgMar w:left="240" w:top="455" w:right="29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left="460" w:right="60"/>
        <w:spacing w:after="0" w:line="275" w:lineRule="auto"/>
        <w:rPr>
          <w:sz w:val="20"/>
          <w:szCs w:val="20"/>
          <w:color w:val="auto"/>
        </w:rPr>
      </w:pPr>
      <w:r>
        <w:rPr>
          <w:rFonts w:ascii="Times New Roman" w:cs="Times New Roman" w:eastAsia="Times New Roman" w:hAnsi="Times New Roman"/>
          <w:sz w:val="18"/>
          <w:szCs w:val="18"/>
          <w:color w:val="auto"/>
        </w:rPr>
        <w:t>earnings per share if the fair value based method had been applied to all outstanding and unvested awards in each period (in thousands, except earnings per share):</w:t>
      </w:r>
    </w:p>
    <w:p>
      <w:pPr>
        <w:spacing w:after="0" w:line="9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6"/>
              </w:rPr>
              <w:t>For the Three</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For the Nine</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6"/>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Months Ended</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w w:val="92"/>
              </w:rPr>
              <w:t>2003</w:t>
            </w:r>
          </w:p>
        </w:tc>
        <w:tc>
          <w:tcPr>
            <w:tcW w:w="300" w:type="dxa"/>
            <w:vAlign w:val="bottom"/>
          </w:tcPr>
          <w:p>
            <w:pPr>
              <w:spacing w:after="0"/>
              <w:rPr>
                <w:sz w:val="22"/>
                <w:szCs w:val="22"/>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2003</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2"/>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income, as reported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5,534</w:t>
            </w: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$ 747</w:t>
            </w:r>
          </w:p>
        </w:tc>
        <w:tc>
          <w:tcPr>
            <w:tcW w:w="300" w:type="dxa"/>
            <w:vAlign w:val="bottom"/>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16,245</w:t>
            </w:r>
          </w:p>
        </w:tc>
        <w:tc>
          <w:tcPr>
            <w:tcW w:w="30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9,626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shd w:val="clear" w:color="auto" w:fill="CCEEFF"/>
          </w:tcPr>
          <w:p>
            <w:pPr>
              <w:ind w:left="420"/>
              <w:spacing w:after="0" w:line="201" w:lineRule="exact"/>
              <w:rPr>
                <w:sz w:val="20"/>
                <w:szCs w:val="20"/>
                <w:color w:val="auto"/>
              </w:rPr>
            </w:pPr>
            <w:r>
              <w:rPr>
                <w:rFonts w:ascii="Times New Roman" w:cs="Times New Roman" w:eastAsia="Times New Roman" w:hAnsi="Times New Roman"/>
                <w:sz w:val="18"/>
                <w:szCs w:val="18"/>
                <w:color w:val="auto"/>
              </w:rPr>
              <w:t>Add: Stock-based employee and non-employee director compensation</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expense included in reported net income, net of related tax effects</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420"/>
              <w:spacing w:after="0" w:line="201" w:lineRule="exact"/>
              <w:rPr>
                <w:sz w:val="20"/>
                <w:szCs w:val="20"/>
                <w:color w:val="auto"/>
              </w:rPr>
            </w:pPr>
            <w:r>
              <w:rPr>
                <w:rFonts w:ascii="Times New Roman" w:cs="Times New Roman" w:eastAsia="Times New Roman" w:hAnsi="Times New Roman"/>
                <w:sz w:val="18"/>
                <w:szCs w:val="18"/>
                <w:color w:val="auto"/>
              </w:rPr>
              <w:t>Deduct: Total stock-based employee and non-employee director</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compensation expense determined under fair value based method for all</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awards, net of related tax effects</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(181)</w:t>
            </w:r>
          </w:p>
        </w:tc>
        <w:tc>
          <w:tcPr>
            <w:tcW w:w="98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 forma net income</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5,515</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$ 719</w:t>
            </w: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16,188</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9,515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$ 0.07</w:t>
            </w:r>
          </w:p>
        </w:tc>
        <w:tc>
          <w:tcPr>
            <w:tcW w:w="3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 forma</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$ 0.07</w:t>
            </w: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reported</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30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$ 0.07</w:t>
            </w:r>
          </w:p>
        </w:tc>
        <w:tc>
          <w:tcPr>
            <w:tcW w:w="300" w:type="dxa"/>
            <w:vAlign w:val="bottom"/>
          </w:tcPr>
          <w:p>
            <w:pPr>
              <w:spacing w:after="0"/>
              <w:rPr>
                <w:sz w:val="19"/>
                <w:szCs w:val="19"/>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Pro forma</w:t>
            </w: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$ 0.07</w:t>
            </w:r>
          </w:p>
        </w:tc>
        <w:tc>
          <w:tcPr>
            <w:tcW w:w="300" w:type="dxa"/>
            <w:vAlign w:val="bottom"/>
            <w:shd w:val="clear" w:color="auto" w:fill="CCEEFF"/>
          </w:tcPr>
          <w:p>
            <w:pPr>
              <w:spacing w:after="0"/>
              <w:rPr>
                <w:sz w:val="18"/>
                <w:szCs w:val="18"/>
                <w:color w:val="auto"/>
              </w:rPr>
            </w:pP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-1504315</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-1504315</wp:posOffset>
            </wp:positionV>
            <wp:extent cx="2159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-1504315</wp:posOffset>
            </wp:positionV>
            <wp:extent cx="3873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-1504315</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-1504315</wp:posOffset>
            </wp:positionV>
            <wp:extent cx="2159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-1504315</wp:posOffset>
            </wp:positionV>
            <wp:extent cx="3873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-1504315</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-1504315</wp:posOffset>
            </wp:positionV>
            <wp:extent cx="2159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-1504315</wp:posOffset>
            </wp:positionV>
            <wp:extent cx="3873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-1504315</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-1504315</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-1504315</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-1066800</wp:posOffset>
            </wp:positionV>
            <wp:extent cx="34734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-1066800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-1066800</wp:posOffset>
            </wp:positionV>
            <wp:extent cx="2159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-1066800</wp:posOffset>
            </wp:positionV>
            <wp:extent cx="3873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-1066800</wp:posOffset>
            </wp:positionV>
            <wp:extent cx="39878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-1066800</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-1066800</wp:posOffset>
            </wp:positionV>
            <wp:extent cx="2159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-1066800</wp:posOffset>
            </wp:positionV>
            <wp:extent cx="3873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-766445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-766445</wp:posOffset>
            </wp:positionV>
            <wp:extent cx="2159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-766445</wp:posOffset>
            </wp:positionV>
            <wp:extent cx="3873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-766445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-766445</wp:posOffset>
            </wp:positionV>
            <wp:extent cx="2159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-766445</wp:posOffset>
            </wp:positionV>
            <wp:extent cx="3873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-766445</wp:posOffset>
            </wp:positionV>
            <wp:extent cx="39878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9878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-766445</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-766445</wp:posOffset>
            </wp:positionV>
            <wp:extent cx="2159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-766445</wp:posOffset>
            </wp:positionV>
            <wp:extent cx="3873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-329565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-329565</wp:posOffset>
            </wp:positionV>
            <wp:extent cx="2159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-329565</wp:posOffset>
            </wp:positionV>
            <wp:extent cx="3873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-329565</wp:posOffset>
            </wp:positionV>
            <wp:extent cx="29591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95910"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-329565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-329565</wp:posOffset>
            </wp:positionV>
            <wp:extent cx="2159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-329565</wp:posOffset>
            </wp:positionV>
            <wp:extent cx="3873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-329565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-329565</wp:posOffset>
            </wp:positionV>
            <wp:extent cx="2159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-329565</wp:posOffset>
            </wp:positionV>
            <wp:extent cx="3873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-29210</wp:posOffset>
            </wp:positionV>
            <wp:extent cx="2159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-29210</wp:posOffset>
            </wp:positionV>
            <wp:extent cx="3873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-29210</wp:posOffset>
            </wp:positionV>
            <wp:extent cx="1270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-29210</wp:posOffset>
            </wp:positionV>
            <wp:extent cx="2159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3873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-29210</wp:posOffset>
            </wp:positionV>
            <wp:extent cx="2159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6143625</wp:posOffset>
            </wp:positionH>
            <wp:positionV relativeFrom="paragraph">
              <wp:posOffset>-29210</wp:posOffset>
            </wp:positionV>
            <wp:extent cx="3873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6563360</wp:posOffset>
            </wp:positionH>
            <wp:positionV relativeFrom="paragraph">
              <wp:posOffset>-29210</wp:posOffset>
            </wp:positionV>
            <wp:extent cx="2159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3873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Compensations Plans</w:t>
      </w:r>
    </w:p>
    <w:p>
      <w:pPr>
        <w:spacing w:after="0" w:line="79"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In September 2003, the Compensation Committee of the Board of Directors adopted a Long Term Incentive Compensation Plan (“LTIP”) under the terms of which senior executives will be eligible to receive cash awards upon achievement of performance goals. Achievement of performance goals will be measured over a series of rolling three year performance periods, with the first period commencing on January 1, 2003. The plan is designed to reward strong financial performance on a sustained basis over a period of years, as measured by the Compound Average Annual Growth Rates (“CAGR”) in net income, as defined in the LTIP document. Target awards are $750,000 each for the Company’s Chief Executive Officer and Chief Financial Officer, and $200,000 each for the other three senior executives. The executives would earn 50% of the target award if the Company achieves a 15% CAGR in net income over a three year performance period, and 100% of the target award if an 18% CAGR in net income is achieved over three years. The maximum award is 200% of the target award, and would be earned if a CAGR in net income of at least 21% is achieved over the three year performance period. Executives will have the option of deferring awards, and deferred amounts will earn interest at the prime rate, with a maximum rate of 10% per year. The accrual for LTIP awards will be made equally in the three year performance period based on management’s estimate of the ultimate award to be earned by the senior executives at the end of each three year performance period. As of September 30, 2003, we have accrued approximately $200 thousand.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Business Segments</w:t>
      </w:r>
    </w:p>
    <w:p>
      <w:pPr>
        <w:spacing w:after="0" w:line="79" w:lineRule="exact"/>
        <w:rPr>
          <w:sz w:val="20"/>
          <w:szCs w:val="20"/>
          <w:color w:val="auto"/>
        </w:rPr>
      </w:pPr>
    </w:p>
    <w:p>
      <w:pPr>
        <w:ind w:right="200" w:firstLine="456"/>
        <w:spacing w:after="0" w:line="262" w:lineRule="auto"/>
        <w:rPr>
          <w:sz w:val="20"/>
          <w:szCs w:val="20"/>
          <w:color w:val="auto"/>
        </w:rPr>
      </w:pPr>
      <w:r>
        <w:rPr>
          <w:rFonts w:ascii="Times New Roman" w:cs="Times New Roman" w:eastAsia="Times New Roman" w:hAnsi="Times New Roman"/>
          <w:sz w:val="18"/>
          <w:szCs w:val="18"/>
          <w:color w:val="auto"/>
        </w:rPr>
        <w:t>We market fuel and related services, and have two reportable operating segments: marine and aviation fuel services. In our marine fuel services business, we market marine fuel and related management services to a broad base of international shipping companies and to governmental and multilateral entities. Services include credit terms, 24-hour around-the-world service, fuel management services, and competitively priced fuel. In our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45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aviation fuel services business, we extend credit and provide around-the-world single-supplier convenience, 24- hour service, fuel management services, and competitively priced aviation fuel and other aviation related services to passenger, cargo and charter airlines, as well as to governmental and multilateral entities. We also offer flight plans and weather reports to our corporate customers.</w:t>
      </w:r>
    </w:p>
    <w:p>
      <w:pPr>
        <w:spacing w:after="0" w:line="11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Performance measurement and resource allocation for the reportable operating segments are based on many factors. One of the primary financial measures used is income from operations. We employ shared-service concepts to realize economies of scale and efficient use of resources. The costs of shared services and other corporate center operations managed on a common basis are allocated to the segments based on usage, where possible, or on other factors according to the nature of the activity. The accounting policies of the reportable operating segments are the same as those described in the Summary of Significant Accounting Policies. (See Note 1).</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Information concerning our operations by business segment is as follows (in thousands):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60" w:type="dxa"/>
            <w:vAlign w:val="bottom"/>
            <w:gridSpan w:val="6"/>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For the Nine Months</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Ended September 30,</w:t>
            </w: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Ended September 30,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2003</w:t>
            </w: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2002</w:t>
            </w: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Marine fuel services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399,362</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340,472</w:t>
            </w:r>
          </w:p>
        </w:tc>
        <w:tc>
          <w:tcPr>
            <w:tcW w:w="300" w:type="dxa"/>
            <w:vAlign w:val="bottom"/>
          </w:tcPr>
          <w:p>
            <w:pPr>
              <w:spacing w:after="0"/>
              <w:rPr>
                <w:sz w:val="18"/>
                <w:szCs w:val="18"/>
                <w:color w:val="auto"/>
              </w:rPr>
            </w:pPr>
          </w:p>
        </w:tc>
        <w:tc>
          <w:tcPr>
            <w:tcW w:w="11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$ 1,213,911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929,609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Aviation fuel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252,939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170,129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742,308</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391,185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652,301</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510,601</w:t>
            </w:r>
          </w:p>
        </w:tc>
        <w:tc>
          <w:tcPr>
            <w:tcW w:w="3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$ 1,956,219</w:t>
            </w:r>
          </w:p>
        </w:tc>
        <w:tc>
          <w:tcPr>
            <w:tcW w:w="100" w:type="dxa"/>
            <w:vAlign w:val="bottom"/>
            <w:shd w:val="clear" w:color="auto" w:fill="CCEEFF"/>
          </w:tcPr>
          <w:p>
            <w:pPr>
              <w:spacing w:after="0"/>
              <w:rPr>
                <w:sz w:val="18"/>
                <w:szCs w:val="18"/>
                <w:color w:val="auto"/>
              </w:rPr>
            </w:pPr>
          </w:p>
        </w:tc>
        <w:tc>
          <w:tcPr>
            <w:tcW w:w="1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$ 1,320,794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Marine fuel services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3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300" w:type="dxa"/>
            <w:vAlign w:val="bottom"/>
          </w:tcPr>
          <w:p>
            <w:pPr>
              <w:spacing w:after="0"/>
              <w:rPr>
                <w:sz w:val="18"/>
                <w:szCs w:val="18"/>
                <w:color w:val="auto"/>
              </w:rPr>
            </w:pPr>
          </w:p>
        </w:tc>
        <w:tc>
          <w:tcPr>
            <w:tcW w:w="4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Aviation fuel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 overhead</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(3,269)</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(6,153)</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(9,996)</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00" w:type="dxa"/>
            <w:vAlign w:val="bottom"/>
          </w:tcPr>
          <w:p>
            <w:pPr>
              <w:spacing w:after="0"/>
              <w:rPr>
                <w:sz w:val="20"/>
                <w:szCs w:val="20"/>
                <w:color w:val="auto"/>
              </w:rPr>
            </w:pPr>
          </w:p>
        </w:tc>
        <w:tc>
          <w:tcPr>
            <w:tcW w:w="9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2003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and notes receivable, net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gridSpan w:val="9"/>
          </w:tcPr>
          <w:p>
            <w:pPr>
              <w:ind w:left="420"/>
              <w:spacing w:after="0" w:line="201" w:lineRule="exact"/>
              <w:rPr>
                <w:sz w:val="20"/>
                <w:szCs w:val="20"/>
                <w:color w:val="auto"/>
              </w:rPr>
            </w:pPr>
            <w:r>
              <w:rPr>
                <w:rFonts w:ascii="Times New Roman" w:cs="Times New Roman" w:eastAsia="Times New Roman" w:hAnsi="Times New Roman"/>
                <w:sz w:val="18"/>
                <w:szCs w:val="18"/>
                <w:color w:val="auto"/>
              </w:rPr>
              <w:t>Marine fuel services, net of allowance for bad debts of $6,102 and $5,319 at September 30,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2003 and December 31, 2002, respectively</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111,043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118,548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20" w:type="dxa"/>
            <w:vAlign w:val="bottom"/>
            <w:gridSpan w:val="9"/>
            <w:shd w:val="clear" w:color="auto" w:fill="CCEEFF"/>
          </w:tcPr>
          <w:p>
            <w:pPr>
              <w:ind w:left="420"/>
              <w:spacing w:after="0" w:line="203" w:lineRule="exact"/>
              <w:rPr>
                <w:sz w:val="20"/>
                <w:szCs w:val="20"/>
                <w:color w:val="auto"/>
              </w:rPr>
            </w:pPr>
            <w:r>
              <w:rPr>
                <w:rFonts w:ascii="Times New Roman" w:cs="Times New Roman" w:eastAsia="Times New Roman" w:hAnsi="Times New Roman"/>
                <w:sz w:val="18"/>
                <w:szCs w:val="18"/>
                <w:color w:val="auto"/>
              </w:rPr>
              <w:t>Aviation fuel services, net of allowance for bad debts of $5,608 and $5,793 at September 30,</w:t>
            </w: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2003 and December 31, 2002, respectively</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56,509</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167,552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177,360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identifiable intangible asset, and investment goodwill: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gridSpan w:val="9"/>
          </w:tcPr>
          <w:p>
            <w:pPr>
              <w:ind w:left="420"/>
              <w:spacing w:after="0" w:line="201" w:lineRule="exact"/>
              <w:rPr>
                <w:sz w:val="20"/>
                <w:szCs w:val="20"/>
                <w:color w:val="auto"/>
              </w:rPr>
            </w:pPr>
            <w:r>
              <w:rPr>
                <w:rFonts w:ascii="Times New Roman" w:cs="Times New Roman" w:eastAsia="Times New Roman" w:hAnsi="Times New Roman"/>
                <w:sz w:val="18"/>
                <w:szCs w:val="18"/>
                <w:color w:val="auto"/>
              </w:rPr>
              <w:t>Marine fuel services, net of accumulated amortization of $3,074 and $2,798 at September 30,</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2003 and December 31, 2002, respectively</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30,123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20" w:type="dxa"/>
            <w:vAlign w:val="bottom"/>
            <w:gridSpan w:val="9"/>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Aviation fuel services, net of accumulated amortization of $1,134 for each period presented</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38,332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Marine fuel services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172,337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Aviation fuel services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139,490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108,999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Corporate</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16,133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326,258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312,287</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-4814570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-4814570</wp:posOffset>
            </wp:positionV>
            <wp:extent cx="2159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-4814570</wp:posOffset>
            </wp:positionV>
            <wp:extent cx="3873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-4814570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-4814570</wp:posOffset>
            </wp:positionV>
            <wp:extent cx="2159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-4814570</wp:posOffset>
            </wp:positionV>
            <wp:extent cx="3873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-4814570</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-4814570</wp:posOffset>
            </wp:positionV>
            <wp:extent cx="2159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-4814570</wp:posOffset>
            </wp:positionV>
            <wp:extent cx="3873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-4814570</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-4814570</wp:posOffset>
            </wp:positionV>
            <wp:extent cx="2159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-4814570</wp:posOffset>
            </wp:positionV>
            <wp:extent cx="3873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3785235</wp:posOffset>
            </wp:positionH>
            <wp:positionV relativeFrom="paragraph">
              <wp:posOffset>-3819525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-3819525</wp:posOffset>
            </wp:positionV>
            <wp:extent cx="2159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-3819525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-3819525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-3819525</wp:posOffset>
            </wp:positionV>
            <wp:extent cx="21590"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-3819525</wp:posOffset>
            </wp:positionV>
            <wp:extent cx="3873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-3819525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-3819525</wp:posOffset>
            </wp:positionV>
            <wp:extent cx="2159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-3819525</wp:posOffset>
            </wp:positionV>
            <wp:extent cx="3873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-3819525</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-3819525</wp:posOffset>
            </wp:positionV>
            <wp:extent cx="2159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-3819525</wp:posOffset>
            </wp:positionV>
            <wp:extent cx="3873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-2018665</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-2018665</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-2018665</wp:posOffset>
            </wp:positionV>
            <wp:extent cx="2159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-2018665</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-2018665</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-2018665</wp:posOffset>
            </wp:positionV>
            <wp:extent cx="2159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-1024255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-1024255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-1024255</wp:posOffset>
            </wp:positionV>
            <wp:extent cx="2159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-1024255</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-1024255</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-1024255</wp:posOffset>
            </wp:positionV>
            <wp:extent cx="2159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5877560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2159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6391910</wp:posOffset>
            </wp:positionH>
            <wp:positionV relativeFrom="paragraph">
              <wp:posOffset>-29210</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6452235</wp:posOffset>
            </wp:positionH>
            <wp:positionV relativeFrom="paragraph">
              <wp:posOffset>-29210</wp:posOffset>
            </wp:positionV>
            <wp:extent cx="2159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11340"/>
          </w:cols>
          <w:pgMar w:left="240" w:top="455" w:right="319" w:bottom="1440" w:gutter="0" w:footer="0" w:header="0"/>
        </w:sect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340"/>
          </w:cols>
          <w:pgMar w:left="240" w:top="455" w:right="319" w:bottom="1440" w:gutter="0" w:footer="0" w:header="0"/>
          <w:type w:val="continuous"/>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7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“Item 1. Financial Statements” appearing elsewhere in this Form 10-Q, as well as our Form 10-K Report for the nine months ended December 31, 2002.</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Reportable Segments</w:t>
      </w:r>
    </w:p>
    <w:p>
      <w:pPr>
        <w:spacing w:after="0" w:line="79" w:lineRule="exact"/>
        <w:rPr>
          <w:sz w:val="20"/>
          <w:szCs w:val="20"/>
          <w:color w:val="auto"/>
        </w:rPr>
      </w:pPr>
    </w:p>
    <w:p>
      <w:pPr>
        <w:ind w:right="160" w:firstLine="456"/>
        <w:spacing w:after="0" w:line="255" w:lineRule="auto"/>
        <w:rPr>
          <w:sz w:val="20"/>
          <w:szCs w:val="20"/>
          <w:color w:val="auto"/>
        </w:rPr>
      </w:pPr>
      <w:r>
        <w:rPr>
          <w:rFonts w:ascii="Times New Roman" w:cs="Times New Roman" w:eastAsia="Times New Roman" w:hAnsi="Times New Roman"/>
          <w:sz w:val="18"/>
          <w:szCs w:val="18"/>
          <w:color w:val="auto"/>
        </w:rPr>
        <w:t>We have two reportable operating businesses: marine and aviation fuel services. In our marine fuel services business, we market marine fuel and related management services to a broad base of international shipping companies and to governmental and multilateral entities. Services include credit terms, 24-hour around-the-world service, fuel management services, and competitively priced fuel. In our aviation fuel services business, we extend credit and provide around-the-world single-supplier convenience, 24-hour service, fuel management services, and competitively priced aviation fuel and other aviation related services to passenger, cargo and charter airlines, as well as to governmental and multilateral entities. We also offer flight plans and weather reports to our corporate customers.</w:t>
      </w:r>
    </w:p>
    <w:p>
      <w:pPr>
        <w:spacing w:after="0" w:line="126" w:lineRule="exact"/>
        <w:rPr>
          <w:sz w:val="20"/>
          <w:szCs w:val="20"/>
          <w:color w:val="auto"/>
        </w:rPr>
      </w:pPr>
    </w:p>
    <w:p>
      <w:pPr>
        <w:ind w:right="20" w:firstLine="456"/>
        <w:spacing w:after="0" w:line="252" w:lineRule="auto"/>
        <w:rPr>
          <w:sz w:val="20"/>
          <w:szCs w:val="20"/>
          <w:color w:val="auto"/>
        </w:rPr>
      </w:pPr>
      <w:r>
        <w:rPr>
          <w:rFonts w:ascii="Times New Roman" w:cs="Times New Roman" w:eastAsia="Times New Roman" w:hAnsi="Times New Roman"/>
          <w:sz w:val="18"/>
          <w:szCs w:val="18"/>
          <w:color w:val="auto"/>
        </w:rPr>
        <w:t>Performance measurement and resource allocation for the reportable operating segments are based on many factors. Two of our primary financial measures used are revenue and income from operations. Our marine fuel business accounted for 61% and 67% of our total revenue for the three months ended September 30, 2003 and 2002, respectively, and 62% and 70% of our total revenue for the nine months ended September 30, 2003 and 2002, respectively. Our aviation fuel business accounted for the remaining 39% and 33% of total revenue for the three months ended September 30, 2003 and 2002, respectively, and 38% and 30% of our total revenue for the nine months ended September 30, 2003 and 2002, respectively. The shift of the revenue percentage between our marine and aviation segment is primarily due to new commercial and government businesses and increases in both fuel management business and wholesale activities. Excluding corporate overhead, our marine and aviation fuel services contributed 42% and 58%, respectively, of operating income for the three months ended September 30, 2003, as compared to 36% and 64% for the three months ended September 30, 2002, respectively. For the nine months ended September 30, 2003, excluding corporate overhead, our marine and aviation fuel services contributed 47% and 53%, respectively, of operating income. As a comparison, our marine and aviation fuel services contributed 40% and 60% of operating income for the nine months ended September 30, 2002, respectively. The shift of the contribution percentage of operating income between our marine and aviation segments is due to improvement of our gross profit in marine relating, in part, to the economic recovery of the shipping industry.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7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bad debts, income taxes, goodwill and identifiable intangible asset, and certain accrued liabilities.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8" w:lineRule="exact"/>
        <w:rPr>
          <w:sz w:val="20"/>
          <w:szCs w:val="20"/>
          <w:color w:val="auto"/>
        </w:rPr>
      </w:pPr>
    </w:p>
    <w:p>
      <w:pPr>
        <w:ind w:right="120" w:firstLine="456"/>
        <w:spacing w:after="0" w:line="262" w:lineRule="auto"/>
        <w:rPr>
          <w:sz w:val="20"/>
          <w:szCs w:val="20"/>
          <w:color w:val="auto"/>
        </w:rPr>
      </w:pPr>
      <w:r>
        <w:rPr>
          <w:rFonts w:ascii="Times New Roman" w:cs="Times New Roman" w:eastAsia="Times New Roman" w:hAnsi="Times New Roman"/>
          <w:sz w:val="18"/>
          <w:szCs w:val="18"/>
          <w:color w:val="auto"/>
        </w:rPr>
        <w:t>We have identified the policies below as critical to our business operations and the understanding of our results of operations. For a detailed discussion on the application of these and other accounting policies, see Note 1 of the “Notes to the Consolidated Financial Statements” in Item 1 of our 10-K Report for the nine months ended December 31, 2002.</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455" w:right="2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79" w:lineRule="exact"/>
        <w:rPr>
          <w:sz w:val="20"/>
          <w:szCs w:val="20"/>
          <w:color w:val="auto"/>
        </w:rPr>
      </w:pPr>
    </w:p>
    <w:p>
      <w:pPr>
        <w:ind w:right="140" w:firstLine="456"/>
        <w:spacing w:after="0" w:line="258" w:lineRule="auto"/>
        <w:rPr>
          <w:sz w:val="20"/>
          <w:szCs w:val="20"/>
          <w:color w:val="auto"/>
        </w:rPr>
      </w:pPr>
      <w:r>
        <w:rPr>
          <w:rFonts w:ascii="Times New Roman" w:cs="Times New Roman" w:eastAsia="Times New Roman" w:hAnsi="Times New Roman"/>
          <w:sz w:val="18"/>
          <w:szCs w:val="18"/>
          <w:color w:val="auto"/>
        </w:rPr>
        <w:t>Revenue is generally recorded in the period when the sale is made or as the services are performed. We contract with unrelated third parties to provide the fuel and/or deliver most services. This causes delays in receiving the necessary information for invoicing to our customers. Accordingly, revenue may be recognized in a period subsequent to when the actual delivery of fuel or service was performed. This policy does not result in reported results that are materially different than if the revenue were recognized in the period of actual delivery or performance.</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Accounts Receivable and Allowance for Bad Debts</w:t>
      </w:r>
    </w:p>
    <w:p>
      <w:pPr>
        <w:spacing w:after="0" w:line="79"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Credit extension, monitoring and collection are performed by each of our business segments. Each segment has a credit committee. The credit committees are responsible for approving credit limits above certain amounts, setting and maintaining credit standards, and ensuring the overall quality of the credit portfolio. We perform ongoing credit evaluations of our customers and adjust credit limits based upon payment history and the customer’s current credit worthiness, as determined by our review of our customer’s credit information. We extend credit on an unsecured basis to many of our customers.</w:t>
      </w:r>
    </w:p>
    <w:p>
      <w:pPr>
        <w:spacing w:after="0" w:line="123"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We continuously monitor collections and payments from our customers and maintain a provision for estimated credit losses based upon our historical experience and any specific customer collection issues that we have identified. Accounts receivable are reduced by an allowance for amounts that may become uncollectible in the future. Such allowances can be either specific to a particular customer or general to all customers in each of our two business segments. As of September 30, 2003 and December 31, 2002, we had accounts and notes receivable of $167.6 million and $177.4 million, respectively, net of allowance for bad debts. The allowance for bad debt as of September 30, 2003 and December 31, 2003 was $11.7 million and $11.1 million, respectively.</w:t>
      </w:r>
    </w:p>
    <w:p>
      <w:pPr>
        <w:spacing w:after="0" w:line="125"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We believe the level of our allowance for bad debts is reasonable based on our experience and our analysis of the net realizable value of our trade receivables at September 30, 2003. We cannot guarantee that we will continue to experience the same credit loss rates that we have experienced in the past since adverse changes in the marine and aviation industries, or changes in the liquidity or financial position of our customers, could have a material adverse effect on the collectability of our accounts receivable and our future operating results. If credit losses exceed established allowances, our results of operation and financial condition may be adversely affected. For additional information on the credit risks inherent in our business, see “Risk Factors” in Item 1 of our 10-K Report for the nine months ended December 31, 2002.</w:t>
      </w:r>
    </w:p>
    <w:p>
      <w:pPr>
        <w:spacing w:after="0" w:line="1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Goodwill, Identifiable Intangible Asset and Investment Goodwill</w:t>
      </w:r>
    </w:p>
    <w:p>
      <w:pPr>
        <w:spacing w:after="0" w:line="79" w:lineRule="exact"/>
        <w:rPr>
          <w:sz w:val="20"/>
          <w:szCs w:val="20"/>
          <w:color w:val="auto"/>
        </w:rPr>
      </w:pPr>
    </w:p>
    <w:p>
      <w:pPr>
        <w:ind w:right="80" w:firstLine="456"/>
        <w:spacing w:after="0" w:line="254" w:lineRule="auto"/>
        <w:rPr>
          <w:sz w:val="20"/>
          <w:szCs w:val="20"/>
          <w:color w:val="auto"/>
        </w:rPr>
      </w:pPr>
      <w:r>
        <w:rPr>
          <w:rFonts w:ascii="Times New Roman" w:cs="Times New Roman" w:eastAsia="Times New Roman" w:hAnsi="Times New Roman"/>
          <w:sz w:val="18"/>
          <w:szCs w:val="18"/>
          <w:color w:val="auto"/>
        </w:rPr>
        <w:t>Goodwill and investment goodwill represent our cost or investment in excess of net assets, including identifiable intangible asset, of the acquired companies. Investment goodwill of $2.9 million was included in Other assets in the accompanying Condensed Consolidated Balance Sheets as of September 30, 2003 and December 31, 2002. The identifiable intangible asset for customer relations existing at the date of acquisition was recorded and is being amortized over its useful life of five years. We accounted for goodwill, identifiable intangible asset and investment goodwill in accordance with Statement of Financial Accounting Standards (“SFAS”) No. 142, “Goodwill and Other Intangible Assets.” Among other provisions, SFAS No. 142 states that goodwill shall not be amortized prospectively. Accordingly, for the three and nine months ended September 30, 2003 and 2002, no goodwill amortization was recorded. For the identifiable intangible asset, we amortized $92 thousand and $276 thousand for the three and nine months ended September 30, 2003.</w:t>
      </w:r>
    </w:p>
    <w:p>
      <w:pPr>
        <w:spacing w:after="0" w:line="128" w:lineRule="exact"/>
        <w:rPr>
          <w:sz w:val="20"/>
          <w:szCs w:val="20"/>
          <w:color w:val="auto"/>
        </w:rPr>
      </w:pPr>
    </w:p>
    <w:p>
      <w:pPr>
        <w:ind w:firstLine="456"/>
        <w:spacing w:after="0" w:line="262" w:lineRule="auto"/>
        <w:rPr>
          <w:sz w:val="20"/>
          <w:szCs w:val="20"/>
          <w:color w:val="auto"/>
        </w:rPr>
      </w:pPr>
      <w:r>
        <w:rPr>
          <w:rFonts w:ascii="Times New Roman" w:cs="Times New Roman" w:eastAsia="Times New Roman" w:hAnsi="Times New Roman"/>
          <w:sz w:val="18"/>
          <w:szCs w:val="18"/>
          <w:color w:val="auto"/>
        </w:rPr>
        <w:t>In accordance with SFAS No. 142, goodwill must be reviewed annually (or more frequently under certain circumstances) for impairment. The initial step of the goodwill impairment test compares the fair value of a reporting unit with its carrying amount, including goodwill. Based on results of these comparisons, goodwill in each of our reporting units is not considered impaired. Accordingly, no impairment charges were recognized.</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45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7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Our provision for income taxes was determined by taxable jurisdiction. We file a consolidated U.S. federal income tax return, which includes all of our U.S. companies. Our non-U.S. companies file income tax returns in their respective countries of incorporation, as required. We do not provide for U.S. federal and state income taxes, and non-U.S. withholding taxes on the undistributed earnings of our non-U.S. companies. The distribution of these earnings would result in additional U.S. federal and state income taxes to the extent they are not offset by foreign tax credits and non-U.S. withholding taxes. It is our intention to reinvest undistributed earnings of our non-U.S. companies indefinitely and thereby postpone their remittance. Accordingly, no provision has been made for taxes that could result from the remittance of such earnings.</w:t>
      </w:r>
    </w:p>
    <w:p>
      <w:pPr>
        <w:spacing w:after="0" w:line="126" w:lineRule="exact"/>
        <w:rPr>
          <w:sz w:val="20"/>
          <w:szCs w:val="20"/>
          <w:color w:val="auto"/>
        </w:rPr>
      </w:pPr>
    </w:p>
    <w:p>
      <w:pPr>
        <w:ind w:right="80" w:firstLine="456"/>
        <w:spacing w:after="0" w:line="262" w:lineRule="auto"/>
        <w:rPr>
          <w:sz w:val="20"/>
          <w:szCs w:val="20"/>
          <w:color w:val="auto"/>
        </w:rPr>
      </w:pPr>
      <w:r>
        <w:rPr>
          <w:rFonts w:ascii="Times New Roman" w:cs="Times New Roman" w:eastAsia="Times New Roman" w:hAnsi="Times New Roman"/>
          <w:sz w:val="18"/>
          <w:szCs w:val="18"/>
          <w:color w:val="auto"/>
        </w:rPr>
        <w:t>We provide for deferred income taxes on temporary differences arising from assets and liabilities whose bases are different for financial reporting and U.S. federal, state and non-U.S. income tax purposes. A valuation allowance is recorded to reduce deferred income tax assets when it is more likely than not that an income tax benefit will not be realized. No valuation allowance was recorded in the accompanying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79" w:lineRule="exact"/>
        <w:rPr>
          <w:sz w:val="20"/>
          <w:szCs w:val="20"/>
          <w:color w:val="auto"/>
        </w:rPr>
      </w:pPr>
    </w:p>
    <w:p>
      <w:pPr>
        <w:ind w:firstLine="456"/>
        <w:spacing w:after="0" w:line="301" w:lineRule="auto"/>
        <w:rPr>
          <w:sz w:val="20"/>
          <w:szCs w:val="20"/>
          <w:color w:val="auto"/>
        </w:rPr>
      </w:pPr>
      <w:r>
        <w:rPr>
          <w:rFonts w:ascii="Times New Roman" w:cs="Times New Roman" w:eastAsia="Times New Roman" w:hAnsi="Times New Roman"/>
          <w:sz w:val="16"/>
          <w:szCs w:val="16"/>
          <w:color w:val="auto"/>
        </w:rPr>
        <w:t>Profit from our marine fuel services business is determined primarily by the volume and commission rate of brokering business generated and by the volume and gross profit achieved on sales, as well as the overall level of operating expenses, which may be significantly affected to the extent that we are required to provision for potential bad debts. Profit from our aviation fuel services business is directly related to the volume and the gross profit achieved on sales, as well as the overall level of operating expenses, which may be significantly affected to the extent that we are required to provision for potential bad debts.</w:t>
      </w:r>
    </w:p>
    <w:p>
      <w:pPr>
        <w:spacing w:after="0" w:line="90"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Comparing the nine-month periods ended September 30, 2003 and 2002, our profitability was favorably impacted in 2003 by increases in sales volume for both marine and aviation, and increases in the gross profit per metric ton traded and brokered in marine. In addition, included in the results for the nine months ended September 30, 2002 were two non-recurring charges totaling $6.1 million. The 2002 non-recurring charges consisted of 1) a $4.5 million executive severance charge, of which $3.7 million related to our former Chief Executive Officer and the remaining amounts were for our former Chief Financial Officer, Chief Information Officer, and two other executives, and 2) a $1.6 million charge for the settlement of the remaining balance on a court judgment against Donald F. Moorehead, Jr., who defaulted on his agreement to purchase EarthCare Company stock owned by us. We received the EarthCare Company stock in connection with the sale of our oil-recycling subsidiaries in February 2000. Earnings in 2003 were adversely affected by a decrease in gross profit per gallon sold in aviation, and increases in all three categories of expenses: ‘salaries and wages’, ‘provision for bad debts’ and ‘other operating expenses.’</w:t>
      </w:r>
    </w:p>
    <w:p>
      <w:pPr>
        <w:spacing w:after="0" w:line="99" w:lineRule="exact"/>
        <w:rPr>
          <w:sz w:val="20"/>
          <w:szCs w:val="20"/>
          <w:color w:val="auto"/>
        </w:rPr>
      </w:pPr>
    </w:p>
    <w:p>
      <w:pPr>
        <w:ind w:right="60" w:firstLine="456"/>
        <w:spacing w:after="0" w:line="290" w:lineRule="auto"/>
        <w:rPr>
          <w:sz w:val="20"/>
          <w:szCs w:val="20"/>
          <w:color w:val="auto"/>
        </w:rPr>
      </w:pPr>
      <w:r>
        <w:rPr>
          <w:rFonts w:ascii="Times New Roman" w:cs="Times New Roman" w:eastAsia="Times New Roman" w:hAnsi="Times New Roman"/>
          <w:sz w:val="16"/>
          <w:szCs w:val="16"/>
          <w:color w:val="auto"/>
        </w:rPr>
        <w:t>The lower gross profit per gallon sold in aviation was primarily due to increased fuel management business and wholesale activities, which are higher credit quality and lower margin business and activities. Partially offsetting the impact of these lower margin activities on gross profit in aviation were new commercial and government businesses. The increase in salaries and wages was primarily due to new employees to support our business expansion, the front-end cost of some business process improvement initiatives, and payments and accruals for performance based incentive compensation payouts. Accrued incentive compensation accounts for the largest part of the salaries and wages increase. The increase in the provision for bad debts is primarily due to additional general provision for bad debts resulting from the write-off of receivables from two bankrupt international airlines. The increase in other operating expenses was also primarily related to the business process improvement and business expansion initiatives, as well as to higher overall operating costs primarily relating to insurance, office rent, depreciation and amortization, independent directors’ compensation, and professional services, such as consulting and accounting.</w:t>
      </w:r>
    </w:p>
    <w:p>
      <w:pPr>
        <w:spacing w:after="0" w:line="99" w:lineRule="exact"/>
        <w:rPr>
          <w:sz w:val="20"/>
          <w:szCs w:val="20"/>
          <w:color w:val="auto"/>
        </w:rPr>
      </w:pPr>
    </w:p>
    <w:p>
      <w:pPr>
        <w:ind w:right="540" w:firstLine="456"/>
        <w:spacing w:after="0" w:line="275" w:lineRule="auto"/>
        <w:rPr>
          <w:sz w:val="20"/>
          <w:szCs w:val="20"/>
          <w:color w:val="auto"/>
        </w:rPr>
      </w:pPr>
      <w:r>
        <w:rPr>
          <w:rFonts w:ascii="Times New Roman" w:cs="Times New Roman" w:eastAsia="Times New Roman" w:hAnsi="Times New Roman"/>
          <w:sz w:val="18"/>
          <w:szCs w:val="18"/>
          <w:color w:val="auto"/>
        </w:rPr>
        <w:t>We may experience decreases in future sales volume and margins as a result of continued conflicts and instability in the Middle East, Asia and Latin America, and additional military actions in response to the terrorist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455"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attacks of September 11th, as well as possible future terrorist activity and military conflicts. In addition, since the sharp decline in world oil prices soon after September 11th, world oil prices have been very volatile. We expect continued volatility in world oil prices as a result of the instability and conflicts in the Middle East. The volatility in world oil prices can adversely affect our customers’ business, and consequently our results of operations. See “Risk Factors” in Item 1 of our 10-K Report for the nine months ended December 31, 2002.</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Three Months Ended September 30, 2003 Compared to Three Months Ended September 30, 2002</w:t>
      </w:r>
    </w:p>
    <w:p>
      <w:pPr>
        <w:spacing w:after="0" w:line="79" w:lineRule="exact"/>
        <w:rPr>
          <w:sz w:val="20"/>
          <w:szCs w:val="20"/>
          <w:color w:val="auto"/>
        </w:rPr>
      </w:pPr>
    </w:p>
    <w:p>
      <w:pPr>
        <w:ind w:right="500" w:firstLine="456"/>
        <w:spacing w:after="0" w:line="275" w:lineRule="auto"/>
        <w:rPr>
          <w:sz w:val="20"/>
          <w:szCs w:val="20"/>
          <w:color w:val="auto"/>
        </w:rPr>
      </w:pPr>
      <w:r>
        <w:rPr>
          <w:rFonts w:ascii="Times New Roman" w:cs="Times New Roman" w:eastAsia="Times New Roman" w:hAnsi="Times New Roman"/>
          <w:sz w:val="18"/>
          <w:szCs w:val="18"/>
          <w:color w:val="auto"/>
        </w:rPr>
        <w:t>Our revenue for the three months ended September 30, 2003 was $652.3 million, an increase of $141.7 million, or 27.8%, as compared to revenue of $510.6 million for the same period of 2002. Our revenue during these periods was attributable to the following segments (in thousands):</w:t>
      </w:r>
    </w:p>
    <w:p>
      <w:pPr>
        <w:spacing w:after="0" w:line="10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5321935</wp:posOffset>
            </wp:positionH>
            <wp:positionV relativeFrom="paragraph">
              <wp:posOffset>60325</wp:posOffset>
            </wp:positionV>
            <wp:extent cx="120904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3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fuel services</w:t>
            </w:r>
          </w:p>
        </w:tc>
        <w:tc>
          <w:tcPr>
            <w:tcW w:w="3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$ 399,362</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$ 340,472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Aviation fuel services</w:t>
            </w:r>
          </w:p>
        </w:tc>
        <w:tc>
          <w:tcPr>
            <w:tcW w:w="3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252,939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170,129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360" w:type="dxa"/>
            <w:vAlign w:val="bottom"/>
          </w:tcPr>
          <w:p>
            <w:pPr>
              <w:spacing w:after="0"/>
              <w:rPr>
                <w:sz w:val="8"/>
                <w:szCs w:val="8"/>
                <w:color w:val="auto"/>
              </w:rPr>
            </w:pPr>
          </w:p>
        </w:tc>
        <w:tc>
          <w:tcPr>
            <w:tcW w:w="286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3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$ 652,301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$ 510,601</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-29210</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5774690</wp:posOffset>
            </wp:positionH>
            <wp:positionV relativeFrom="paragraph">
              <wp:posOffset>-29210</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right="60" w:firstLine="456"/>
        <w:spacing w:after="0" w:line="255" w:lineRule="auto"/>
        <w:rPr>
          <w:sz w:val="20"/>
          <w:szCs w:val="20"/>
          <w:color w:val="auto"/>
        </w:rPr>
      </w:pPr>
      <w:r>
        <w:rPr>
          <w:rFonts w:ascii="Times New Roman" w:cs="Times New Roman" w:eastAsia="Times New Roman" w:hAnsi="Times New Roman"/>
          <w:sz w:val="18"/>
          <w:szCs w:val="18"/>
          <w:color w:val="auto"/>
        </w:rPr>
        <w:t>Our marine fuel services segment contributed $399.4 million in revenue for the three months ended September 30, 2003, an increase of $58.9 million, or 17.3%, over the corresponding period of 2002. The increase in revenue was primarily due to a 6.7% increase in the average price per metric ton sold and a 10.7% increase in the volume of metric tons sold. Our aviation fuel services segment contributed $252.9 million in revenue for the three months ended September 30, 2003, an increase of $82.8 million as compared to the same period of 2002. The increase in revenue was due to an increase in the volume sold of 81.6 million gallons and a 1.1% increase in the average price per gallon sold. The increase in aviation sales volume was due to new commercial and government businesses as well as increases in wholesale activities and fuel management business.</w:t>
      </w:r>
    </w:p>
    <w:p>
      <w:pPr>
        <w:spacing w:after="0" w:line="126" w:lineRule="exact"/>
        <w:rPr>
          <w:sz w:val="20"/>
          <w:szCs w:val="20"/>
          <w:color w:val="auto"/>
        </w:rPr>
      </w:pPr>
    </w:p>
    <w:p>
      <w:pPr>
        <w:ind w:right="180" w:firstLine="456"/>
        <w:spacing w:after="0" w:line="254" w:lineRule="auto"/>
        <w:rPr>
          <w:sz w:val="20"/>
          <w:szCs w:val="20"/>
          <w:color w:val="auto"/>
        </w:rPr>
      </w:pPr>
      <w:r>
        <w:rPr>
          <w:rFonts w:ascii="Times New Roman" w:cs="Times New Roman" w:eastAsia="Times New Roman" w:hAnsi="Times New Roman"/>
          <w:sz w:val="18"/>
          <w:szCs w:val="18"/>
          <w:color w:val="auto"/>
        </w:rPr>
        <w:t>Our gross profit of $24.5 million for the three months ended September 30, 2003 increased $4.4 million, or 21.9%, as compared to the corresponding period of 2002. Our gross margin decreased slightly to 3.8% for the three months ended September 30, 2003, from 3.9% for the three months ended September 30, 2002. Our marine fuel services segment achieved a 2.7% gross margin for the three months ended September 30, 2003, an improvement of 13.1% over the same period of 2002. The increase in marine gross margin was due, in part, to the economic recovery of the shipping industry from 2002. Our aviation fuel services business achieved a 5.4% gross margin for the three months ended September 30, 2003, as compared to 7.0% for the same period of the prior year. The decrease in aviation gross margin reflects increases in our wholesale activities and fuel management business, which are higher credit quality, lower margin activities and business.</w:t>
      </w:r>
    </w:p>
    <w:p>
      <w:pPr>
        <w:spacing w:after="0" w:line="128" w:lineRule="exact"/>
        <w:rPr>
          <w:sz w:val="20"/>
          <w:szCs w:val="20"/>
          <w:color w:val="auto"/>
        </w:rPr>
      </w:pPr>
    </w:p>
    <w:p>
      <w:pPr>
        <w:ind w:right="80" w:firstLine="456"/>
        <w:spacing w:after="0" w:line="289" w:lineRule="auto"/>
        <w:rPr>
          <w:sz w:val="20"/>
          <w:szCs w:val="20"/>
          <w:color w:val="auto"/>
        </w:rPr>
      </w:pPr>
      <w:r>
        <w:rPr>
          <w:rFonts w:ascii="Times New Roman" w:cs="Times New Roman" w:eastAsia="Times New Roman" w:hAnsi="Times New Roman"/>
          <w:sz w:val="16"/>
          <w:szCs w:val="16"/>
          <w:color w:val="auto"/>
        </w:rPr>
        <w:t>Total operating expenses for the three months ended September 30, 2003 were $17.4 million as compared to $19.0 million for the three months ended September 30, 2002, which included executive severance charges of $4.5 million. Excluding the 2002 executive severance charges, total operating expenses for the three months ended September 30, 2003 would have increased $2.8 million, or 19.5%, as compared to the same period of 2002. The increase in operating expenses was in all three categories of expenses: salaries and wages, provision for bad debts, and other operating expenses. The increase in salaries and wages was primarily due to new employees to support our business expansion, the front-end cost of some business process improvement initiatives, and payments and accruals for performance based incentive compensation payouts. Accrued incentive compensation accounts for the largest part of the salaries and wages increase. The increase in the provision for bad debts is primarily due to additional general provision for bad debts resulting from the write-off of receivables from one bankrupt international airline. The increase in other operating expenses was also primarily related to the business process improvement and business expansion initiatives, as well as to higher overall operating costs primarily relating to depreciation and amortization, and professional services, such as consulting.</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45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60" w:firstLine="456"/>
        <w:spacing w:after="0" w:line="258" w:lineRule="auto"/>
        <w:rPr>
          <w:sz w:val="20"/>
          <w:szCs w:val="20"/>
          <w:color w:val="auto"/>
        </w:rPr>
      </w:pPr>
      <w:r>
        <w:rPr>
          <w:rFonts w:ascii="Times New Roman" w:cs="Times New Roman" w:eastAsia="Times New Roman" w:hAnsi="Times New Roman"/>
          <w:sz w:val="18"/>
          <w:szCs w:val="18"/>
          <w:color w:val="auto"/>
        </w:rPr>
        <w:t>Our income from operations for the three months ended September 30, 2003 was $7.2 million, as compared to $1.1 million for the corresponding period of the prior year. Included in the results for the three months ended September 30, 2002 was executive severance charges of $4.5 million. Excluding the 2002 executive severance charges, operating income for the three months ended September 30, 2003 increased $1.6 million, or 28.0%. Income from operations during these periods was attributable to the following segments (in thousands):</w:t>
      </w:r>
    </w:p>
    <w:p>
      <w:pPr>
        <w:spacing w:after="0" w:line="120"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For the Three Months</w:t>
      </w:r>
    </w:p>
    <w:p>
      <w:pPr>
        <w:spacing w:after="0" w:line="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60325</wp:posOffset>
            </wp:positionV>
            <wp:extent cx="109791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2003</w:t>
            </w:r>
          </w:p>
        </w:tc>
        <w:tc>
          <w:tcPr>
            <w:tcW w:w="340" w:type="dxa"/>
            <w:vAlign w:val="bottom"/>
          </w:tcPr>
          <w:p>
            <w:pPr>
              <w:spacing w:after="0"/>
              <w:rPr>
                <w:sz w:val="15"/>
                <w:szCs w:val="15"/>
                <w:color w:val="auto"/>
              </w:rPr>
            </w:pPr>
          </w:p>
        </w:tc>
        <w:tc>
          <w:tcPr>
            <w:tcW w:w="8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fuel services</w:t>
            </w: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Aviation fuel services</w:t>
            </w:r>
          </w:p>
        </w:tc>
        <w:tc>
          <w:tcPr>
            <w:tcW w:w="2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6,022</w:t>
            </w:r>
          </w:p>
        </w:tc>
        <w:tc>
          <w:tcPr>
            <w:tcW w:w="3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overhead</w:t>
            </w:r>
          </w:p>
        </w:tc>
        <w:tc>
          <w:tcPr>
            <w:tcW w:w="2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(3,269)</w:t>
            </w:r>
          </w:p>
        </w:tc>
        <w:tc>
          <w:tcPr>
            <w:tcW w:w="9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(6,153)</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20" w:type="dxa"/>
            <w:vAlign w:val="bottom"/>
          </w:tcPr>
          <w:p>
            <w:pPr>
              <w:spacing w:after="0"/>
              <w:rPr>
                <w:sz w:val="9"/>
                <w:szCs w:val="9"/>
                <w:color w:val="auto"/>
              </w:rPr>
            </w:pPr>
          </w:p>
        </w:tc>
        <w:tc>
          <w:tcPr>
            <w:tcW w:w="29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7,164</w:t>
            </w:r>
          </w:p>
        </w:tc>
        <w:tc>
          <w:tcPr>
            <w:tcW w:w="3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5380355</wp:posOffset>
            </wp:positionH>
            <wp:positionV relativeFrom="paragraph">
              <wp:posOffset>-27305</wp:posOffset>
            </wp:positionV>
            <wp:extent cx="38163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-27305</wp:posOffset>
            </wp:positionV>
            <wp:extent cx="3816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1635" cy="29845"/>
                    </a:xfrm>
                    <a:prstGeom prst="rect">
                      <a:avLst/>
                    </a:prstGeom>
                    <a:noFill/>
                  </pic:spPr>
                </pic:pic>
              </a:graphicData>
            </a:graphic>
          </wp:anchor>
        </w:drawing>
      </w:r>
    </w:p>
    <w:p>
      <w:pPr>
        <w:spacing w:after="0" w:line="222"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The marine fuel services segment earned $4.4 million in income from operations for the three months ended September 30, 2003, an increase of $1.8 million, or 67.2%, as compared to $2.6 million for the corresponding period of the prior year. This increase resulted primarily from a 32.7% increase in gross profit partially offset by higher operating expenses relating to salaries and wages, and other operating expenses. The aviation fuel services segment’s income from operations was $6.0 million for the three months ended September 30, 2003, an increase of $1.4 million, or 30.3%, as compared to the same period of the prior year. This improvement was due to a higher gross profit, partially offset by higher provision for bad debts. Corporate overhead costs not charged to the business segments totaled $3.3 million for the three months ended September 30, 2003, as compared to $6.2 million during the same period of the prior year. Excluding corporate’s 2002 executive severance charges, corporate overhead for the three months ended September 30, 2003 increased $1.4 million as compared to the corresponding period of the prior year. For explanations of the increases in operating expenses for the three months ended September 30, 2003 as compared to the same period a year ago, see above discussion on operating expenses.</w:t>
      </w:r>
    </w:p>
    <w:p>
      <w:pPr>
        <w:spacing w:after="0" w:line="130"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2003, we reported $83 thousand in net non-operating income, as compared to net non-operating expense of $1.5 million for the same period of the prior year. Included in the three months ended September 30, 2002 was a $1.6 million non-recurring charge related to the settlement of the remaining balance on the Moorehead judgment. Excluding the 2002 non-recurring charge, there was no significant fluctuation in net non-operating income between the two three-month periods.</w:t>
      </w:r>
    </w:p>
    <w:p>
      <w:pPr>
        <w:spacing w:after="0" w:line="123" w:lineRule="exact"/>
        <w:rPr>
          <w:sz w:val="20"/>
          <w:szCs w:val="20"/>
          <w:color w:val="auto"/>
        </w:rPr>
      </w:pPr>
    </w:p>
    <w:p>
      <w:pPr>
        <w:ind w:right="80" w:firstLine="456"/>
        <w:spacing w:after="0" w:line="296" w:lineRule="auto"/>
        <w:rPr>
          <w:sz w:val="20"/>
          <w:szCs w:val="20"/>
          <w:color w:val="auto"/>
        </w:rPr>
      </w:pPr>
      <w:r>
        <w:rPr>
          <w:rFonts w:ascii="Times New Roman" w:cs="Times New Roman" w:eastAsia="Times New Roman" w:hAnsi="Times New Roman"/>
          <w:sz w:val="16"/>
          <w:szCs w:val="16"/>
          <w:color w:val="auto"/>
        </w:rPr>
        <w:t>For the three months ended September 30, 2003, our effective tax rate was 23.6%, for an income tax provision of $1.7 million, as compared to an income tax benefit of $1.2 million for the three months ended September 30, 2002. During the three months ended September 30, 2002, we recorded income tax benefits totaling approximately $2.3 million relating to two non-recurring charges, as discussed above. Excluding the income tax benefit on these 2002 non-recurring items, we would have recorded an income tax provision of approximately $1.1 million and our consolidated effective tax rate would have been approximately 20.5%. This higher effective tax rate primarily relates to changes in the specific levels of earnings subject to tax at different rates around the world.</w:t>
      </w:r>
    </w:p>
    <w:p>
      <w:pPr>
        <w:spacing w:after="0" w:line="94" w:lineRule="exact"/>
        <w:rPr>
          <w:sz w:val="20"/>
          <w:szCs w:val="20"/>
          <w:color w:val="auto"/>
        </w:rPr>
      </w:pPr>
    </w:p>
    <w:p>
      <w:pPr>
        <w:ind w:right="60" w:firstLine="456"/>
        <w:spacing w:after="0" w:line="287" w:lineRule="auto"/>
        <w:rPr>
          <w:sz w:val="20"/>
          <w:szCs w:val="20"/>
          <w:color w:val="auto"/>
        </w:rPr>
      </w:pPr>
      <w:r>
        <w:rPr>
          <w:rFonts w:ascii="Times New Roman" w:cs="Times New Roman" w:eastAsia="Times New Roman" w:hAnsi="Times New Roman"/>
          <w:sz w:val="16"/>
          <w:szCs w:val="16"/>
          <w:color w:val="auto"/>
        </w:rPr>
        <w:t>Net income and diluted earnings per share for the three months ended September 30, 2003 were $5.5 million and $0.49, respectively, as compared to net income and diluted earnings per share for the three months ended September 30, 2002 of $747 thousand and $0.07, respectively. Net income and diluted earnings per share for the three months ended September 30, 2002 were impacted by two non-recurring, after-tax charges totaling $3.8 million, or $0.34 per diluted share:</w:t>
      </w:r>
    </w:p>
    <w:p>
      <w:pPr>
        <w:spacing w:after="0" w:line="1" w:lineRule="exact"/>
        <w:rPr>
          <w:sz w:val="20"/>
          <w:szCs w:val="20"/>
          <w:color w:val="auto"/>
        </w:rPr>
      </w:pPr>
    </w:p>
    <w:p>
      <w:pPr>
        <w:ind w:right="100" w:firstLine="8"/>
        <w:spacing w:after="0" w:line="255" w:lineRule="auto"/>
        <w:tabs>
          <w:tab w:leader="none" w:pos="19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 of $2.8 million, or $0.25 per diluted share, related to executive severance, and 2) the charge of $970 thousand, or $0.09 per diluted share, related to the settlement of the remaining balance on the Moorehead judgment. Excluding the after-tax effect of these two non-recurring charges in 2002, net income increased $1.1 million, or 23.6%, and diluted earnings per share increased $0.08, or 19.5%.</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455" w:right="25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Nine Months Ended September 30, 2003 Compared to Nine Months Ended September 30, 2002</w:t>
      </w:r>
    </w:p>
    <w:p>
      <w:pPr>
        <w:spacing w:after="0" w:line="79" w:lineRule="exact"/>
        <w:rPr>
          <w:sz w:val="20"/>
          <w:szCs w:val="20"/>
          <w:color w:val="auto"/>
        </w:rPr>
      </w:pPr>
    </w:p>
    <w:p>
      <w:pPr>
        <w:ind w:right="220" w:firstLine="456"/>
        <w:spacing w:after="0" w:line="275" w:lineRule="auto"/>
        <w:rPr>
          <w:sz w:val="20"/>
          <w:szCs w:val="20"/>
          <w:color w:val="auto"/>
        </w:rPr>
      </w:pPr>
      <w:r>
        <w:rPr>
          <w:rFonts w:ascii="Times New Roman" w:cs="Times New Roman" w:eastAsia="Times New Roman" w:hAnsi="Times New Roman"/>
          <w:sz w:val="18"/>
          <w:szCs w:val="18"/>
          <w:color w:val="auto"/>
        </w:rPr>
        <w:t>Our revenue for the nine months ended September 30, 2003 was $1.96 billion, an increase of $635.4 million, or 48.1%, as compared to revenue of $1.32 billion for the corresponding nine months of 2002. Our revenue during these periods was attributable to the following segments (in thousands):</w:t>
      </w:r>
    </w:p>
    <w:p>
      <w:pPr>
        <w:spacing w:after="0" w:line="104"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5090795</wp:posOffset>
            </wp:positionH>
            <wp:positionV relativeFrom="paragraph">
              <wp:posOffset>60325</wp:posOffset>
            </wp:positionV>
            <wp:extent cx="14408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2003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2002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fuel services</w:t>
            </w: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1,213,911</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929,609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Aviation fuel services</w:t>
            </w:r>
          </w:p>
        </w:tc>
        <w:tc>
          <w:tcPr>
            <w:tcW w:w="2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742,308</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391,185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1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1,956,219</w:t>
            </w:r>
          </w:p>
        </w:tc>
        <w:tc>
          <w:tcPr>
            <w:tcW w:w="5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1,320,794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-27305</wp:posOffset>
            </wp:positionV>
            <wp:extent cx="144462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444625" cy="29845"/>
                    </a:xfrm>
                    <a:prstGeom prst="rect">
                      <a:avLst/>
                    </a:prstGeom>
                    <a:noFill/>
                  </pic:spPr>
                </pic:pic>
              </a:graphicData>
            </a:graphic>
          </wp:anchor>
        </w:drawing>
      </w:r>
    </w:p>
    <w:p>
      <w:pPr>
        <w:spacing w:after="0" w:line="222" w:lineRule="exact"/>
        <w:rPr>
          <w:sz w:val="20"/>
          <w:szCs w:val="20"/>
          <w:color w:val="auto"/>
        </w:rPr>
      </w:pPr>
    </w:p>
    <w:p>
      <w:pPr>
        <w:ind w:right="40" w:firstLine="456"/>
        <w:spacing w:after="0" w:line="255" w:lineRule="auto"/>
        <w:rPr>
          <w:sz w:val="20"/>
          <w:szCs w:val="20"/>
          <w:color w:val="auto"/>
        </w:rPr>
      </w:pPr>
      <w:r>
        <w:rPr>
          <w:rFonts w:ascii="Times New Roman" w:cs="Times New Roman" w:eastAsia="Times New Roman" w:hAnsi="Times New Roman"/>
          <w:sz w:val="18"/>
          <w:szCs w:val="18"/>
          <w:color w:val="auto"/>
        </w:rPr>
        <w:t>Our marine fuel services segment contributed $1.21 billion in revenue for the nine months ended September 30, 2003, an increase of $284.3 million, or 30.6%, over the same period in 2002. The increase in revenue was primarily due to a 25.0% increase in the average price per metric ton sold and a 5.1% increase in the volume of metric tons sold. Our aviation fuel services segment contributed $742.3 million in revenue for the nine months ended September 30, 2003, an increase of $351.1 million as compared to the same period of the prior year. The increase in revenue was due to an increase in the volume sold of 303.0 million gallons and a 9.4% increase in the average price per gallon sold. The increase in aviation sales volume was due to new commercial and government businesses as well as increases in wholesale activities and fuel management business.</w:t>
      </w:r>
    </w:p>
    <w:p>
      <w:pPr>
        <w:spacing w:after="0" w:line="126"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gross profit of $77.3 million for the nine months ended September 30, 2003 increased $15.9 million, or 26.0%, as compared to the corresponding nine months of 2002. Our gross margin decreased to 4.0% for the nine months ended September 30, 2003, from 4.6% for the nine months ended September 30, 2002. Our marine fuel services segment achieved a 3.2% gross margin for the nine months ended September 30, 2003, which increased slightly from 3.0% over the same period in 2002. Our aviation fuel services business achieved a 5.2% gross margin for the nine months ended September 30, 2003, as compared to 8.6% for the first nine months of 2002. The decrease in aviation gross margin reflects increases in our wholesale activities and fuel management business, which are higher credit quality, lower margin activities and business.</w:t>
      </w:r>
    </w:p>
    <w:p>
      <w:pPr>
        <w:spacing w:after="0" w:line="126"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Total operating expenses for the nine months ended September 30, 2003 were $57.5 million as compared to $48.0 million for the nine months ended September 30, 2002, which included executive severance charges of $4.5 million. Excluding the 2002 executive severance charges, total operating expenses for the nine months ended September 30, 2003 would have increased $13.9 million, or 32.0%, as compared to the same period in 2002. The increase in operating expenses was in all three categories of expenses: salaries and wages, provision for bad debts and other operating expenses. The increase in salaries and wages was primarily due to new employees to support our business expansion, the front-end cost of some business process improvement initiatives, and payments and accruals for performance based incentive compensation payouts. Accrued incentive compensation accounts for the largest part of the salaries and wages increase. The increase in the provision for bad debts is primarily due to additional general provision for bad debts resulting from the write-off of receivables from two bankrupt international airlines. The increase in other operating expenses was also primarily related to the business process improvement and business expansion initiatives, as well as to higher overall operating costs primarily relating to insurance, office rent, depreciation and amortization, independent directors’ compensation, and professional services, such as consulting and accounting.</w:t>
      </w:r>
    </w:p>
    <w:p>
      <w:pPr>
        <w:spacing w:after="0" w:line="127" w:lineRule="exact"/>
        <w:rPr>
          <w:sz w:val="20"/>
          <w:szCs w:val="20"/>
          <w:color w:val="auto"/>
        </w:rPr>
      </w:pPr>
    </w:p>
    <w:p>
      <w:pPr>
        <w:ind w:right="120" w:firstLine="456"/>
        <w:spacing w:after="0" w:line="258" w:lineRule="auto"/>
        <w:rPr>
          <w:sz w:val="20"/>
          <w:szCs w:val="20"/>
          <w:color w:val="auto"/>
        </w:rPr>
      </w:pPr>
      <w:r>
        <w:rPr>
          <w:rFonts w:ascii="Times New Roman" w:cs="Times New Roman" w:eastAsia="Times New Roman" w:hAnsi="Times New Roman"/>
          <w:sz w:val="18"/>
          <w:szCs w:val="18"/>
          <w:color w:val="auto"/>
        </w:rPr>
        <w:t>Our income from operations for the nine months ended September 30, 2003 was $19.9 million, as compared to $13.4 million for the corresponding period of the prior year. Included in the results for the nine months ended September 30, 2002 were executive severance charges of $4.5 million. Excluding the 2002 executive severance charges, operating income for the nine months ended September 30, 2003 increased $2.0 million, or 11.3%. Income from operations during these periods was attributable to the following segments (in thousands):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00"/>
          </w:cols>
          <w:pgMar w:left="240" w:top="455" w:right="2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1"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For the Nine Months</w:t>
      </w:r>
    </w:p>
    <w:p>
      <w:pPr>
        <w:spacing w:after="0" w:line="5"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60325</wp:posOffset>
            </wp:positionV>
            <wp:extent cx="110617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3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2002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fuel services</w:t>
            </w: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$14,118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Aviation fuel services</w:t>
            </w:r>
          </w:p>
        </w:tc>
        <w:tc>
          <w:tcPr>
            <w:tcW w:w="3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15,741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overhead</w:t>
            </w:r>
          </w:p>
        </w:tc>
        <w:tc>
          <w:tcPr>
            <w:tcW w:w="3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(9,996)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7"/>
              </w:rPr>
              <w:t>(10,031)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400" w:type="dxa"/>
            <w:vAlign w:val="bottom"/>
          </w:tcPr>
          <w:p>
            <w:pPr>
              <w:spacing w:after="0"/>
              <w:rPr>
                <w:sz w:val="9"/>
                <w:szCs w:val="9"/>
                <w:color w:val="auto"/>
              </w:rPr>
            </w:pPr>
          </w:p>
        </w:tc>
        <w:tc>
          <w:tcPr>
            <w:tcW w:w="29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-29210</wp:posOffset>
            </wp:positionV>
            <wp:extent cx="12700"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-29210</wp:posOffset>
            </wp:positionV>
            <wp:extent cx="2159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19" w:lineRule="exact"/>
        <w:rPr>
          <w:sz w:val="20"/>
          <w:szCs w:val="20"/>
          <w:color w:val="auto"/>
        </w:rPr>
      </w:pPr>
    </w:p>
    <w:p>
      <w:pPr>
        <w:ind w:firstLine="456"/>
        <w:spacing w:after="0" w:line="290" w:lineRule="auto"/>
        <w:rPr>
          <w:sz w:val="20"/>
          <w:szCs w:val="20"/>
          <w:color w:val="auto"/>
        </w:rPr>
      </w:pPr>
      <w:r>
        <w:rPr>
          <w:rFonts w:ascii="Times New Roman" w:cs="Times New Roman" w:eastAsia="Times New Roman" w:hAnsi="Times New Roman"/>
          <w:sz w:val="16"/>
          <w:szCs w:val="16"/>
          <w:color w:val="auto"/>
        </w:rPr>
        <w:t>The marine fuel services segment earned $14.1 million in income from operations for the nine months ended September 30, 2003, an increase of $4.7 million, or 50.7%, as compared to the corresponding period of 2002. This increase resulted primarily from a 39.4% increase in gross profit partially offset by higher operating expenses in all three categories of expenses. The aviation fuel services segment’s income from operations was $15.7 million for the nine months ended September 30, 2003, an increase of $1.7 million, or 12.3%, as compared to the same period in 2002. This improvement was due to a 14.9% growth in gross profit, partially offset by higher operating expenses in all three categories of expenses. Corporate overhead costs not charged to the business segments for the nine months ended September 30, 2003 and 2002 were $10.0 million. Excluding corporate’s 2002 executive severance charges, corporate overhead for the nine months ended September 30, 2003 increased $4.2 million as compared to the corresponding period of the prior year. For explanations of the increases in operating expenses for the nine months ended September 30, 2003 as compared to the same period a year ago, see above discussion on operating expenses.</w:t>
      </w:r>
    </w:p>
    <w:p>
      <w:pPr>
        <w:spacing w:after="0" w:line="99"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During the nine months ended September 30, 2003, we reported $312 thousand in net non-operating income, as compared to net non-operating expense of $1.7 million for the same period of the prior year. Included in the nine months of September 30, 2002 was a $1.6 million non-recurring charge related to the settlement of the remaining balance on the Moorehead judgment. Excluding the 2002 non-recurring charge, the positive variance of $479 thousand is primarily related to a net foreign exchange gain for the nine months ended September 30, 2003 as compared to a net foreign exchange loss for the same period in 2002. Partially offsetting the foreign exchange turnaround was a decrease in net interest income primarily relating to lower interest rates.</w:t>
      </w:r>
    </w:p>
    <w:p>
      <w:pPr>
        <w:spacing w:after="0" w:line="125"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2003, our effective tax rate was 19.5%, for an income tax provision of $3.9 million, as compared to 17.1% with an income tax provision of $2.0 million for the nine months ended September 30, 2002. During the nine months ended September 30, 2002, we recorded income tax benefits totaling approximately $2.3 million relating to two non-recurring charges, as discussed above. Excluding the income tax benefit on these 2002 non-recurring items, we would have recorded an income tax provision of approximately $4.3 million for the first nine months of 2002 and our consolidated effective tax rate would have been approximately 24.5%. This lower tax rate for the nine-month ended September 30, 2003 period results from 2003 income tax benefits that stem from US operating losses at a tax rate of approximately 35% and increased operating income in lower tax foreign jurisdictions as well as lower statutory tax rates on certain types of foreign income.</w:t>
      </w:r>
    </w:p>
    <w:p>
      <w:pPr>
        <w:spacing w:after="0" w:line="12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Net income and diluted earnings per share for the nine months ended September 30, 2003 were $16.2 million and $1.46, respectively, as compared to net income and diluted earnings per share for the nine months ended September 30, 2002 of $9.6 million and $0.89, respectively. Net income and diluted earnings per share for the nine months ended September 30, 2002 were impacted by two non-recurring, after-tax charges totaling $3.8 million, or $0.34 per diluted share: 1) the charge of $2.8 million, or $0.25 per diluted share, related to executive severance, and 2) the charge of $970 thousand, or $0.09 per diluted share, related to the settlement of the remaining balance on the Moorehead judgment. Excluding the after-tax effect of these two non-recurring charges in 2002, net income increased $2.9 million, or 21.6%, and diluted earnings per share increased $0.23, or 18.7%.</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55"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79" w:lineRule="exact"/>
        <w:rPr>
          <w:sz w:val="20"/>
          <w:szCs w:val="20"/>
          <w:color w:val="auto"/>
        </w:rPr>
      </w:pPr>
    </w:p>
    <w:p>
      <w:pPr>
        <w:ind w:right="260" w:firstLine="456"/>
        <w:spacing w:after="0" w:line="256" w:lineRule="auto"/>
        <w:rPr>
          <w:sz w:val="20"/>
          <w:szCs w:val="20"/>
          <w:color w:val="auto"/>
        </w:rPr>
      </w:pPr>
      <w:r>
        <w:rPr>
          <w:rFonts w:ascii="Times New Roman" w:cs="Times New Roman" w:eastAsia="Times New Roman" w:hAnsi="Times New Roman"/>
          <w:sz w:val="18"/>
          <w:szCs w:val="18"/>
          <w:color w:val="auto"/>
        </w:rPr>
        <w:t>In our marine and aviation fuel businesses, the primary use of working capital is to finance receivables. We maintain aviation fuel inventories at certain locations in the United States, mostly for competitive reasons. Our marine and aviation fuel businesses historically have not required significant capital investment in fixed assets as we subcontract fueling services and maintain inventories at third party storage facilities. We have funded our operations primarily with cash flow generated from operations. As of September 30, 2003, we had $65.5 million of cash and cash equivalents as compared to $57.8 million at December 31, 2002.</w:t>
      </w:r>
    </w:p>
    <w:p>
      <w:pPr>
        <w:spacing w:after="0" w:line="125" w:lineRule="exact"/>
        <w:rPr>
          <w:sz w:val="20"/>
          <w:szCs w:val="20"/>
          <w:color w:val="auto"/>
        </w:rPr>
      </w:pPr>
    </w:p>
    <w:p>
      <w:pPr>
        <w:ind w:right="60" w:firstLine="456"/>
        <w:spacing w:after="0" w:line="293" w:lineRule="auto"/>
        <w:rPr>
          <w:sz w:val="20"/>
          <w:szCs w:val="20"/>
          <w:color w:val="auto"/>
        </w:rPr>
      </w:pPr>
      <w:r>
        <w:rPr>
          <w:rFonts w:ascii="Times New Roman" w:cs="Times New Roman" w:eastAsia="Times New Roman" w:hAnsi="Times New Roman"/>
          <w:sz w:val="16"/>
          <w:szCs w:val="16"/>
          <w:color w:val="auto"/>
        </w:rPr>
        <w:t>We also have a revolving credit facility that permits borrowings of up to $40.0 million with a sublimit of $30.0 million for the issuance of letters of credit. Our available borrowings under the credit facility are reduced by the amount of outstanding letters of credit. The credit facility imposes certain operating and financial restrictions, including restrictions on the payment of dividends in excess of specified amounts. Our failure to comply with the obligations under the credit facility, including meeting certain financial ratios, could result in an event of default. An event of default, if not cured or waived, would permit acceleration of any outstanding indebtedness under the credit facility, impair our ability to receive advances and issue letters of credit, and may have a material adverse effect on us. As of September 30, 2003, we have borrowed $5.0 million and issued letters of credit totaling $16.2 million under the credit facility.</w:t>
      </w:r>
    </w:p>
    <w:p>
      <w:pPr>
        <w:spacing w:after="0" w:line="97"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totaled $9.7 million for the nine months ended September 30, 2003, an increase of $1.2 million as compared to the corresponding nine months of 2002. The increase in cash flows from operating activities resulted from increases in net income and non-cash operating expenses, partially offset with an increase in net operating assets. The increase in non-cash operating expenses was primarily due to higher provision for bad debts and depreciation and amortization, partially offset with an increase in deferred income tax benefit as well as the 2002 non-recurring charge related to the settlement of the remaining balance on the Moorehead judgment.</w:t>
      </w:r>
    </w:p>
    <w:p>
      <w:pPr>
        <w:spacing w:after="0" w:line="125" w:lineRule="exact"/>
        <w:rPr>
          <w:sz w:val="20"/>
          <w:szCs w:val="20"/>
          <w:color w:val="auto"/>
        </w:rPr>
      </w:pPr>
    </w:p>
    <w:p>
      <w:pPr>
        <w:ind w:right="320" w:firstLine="456"/>
        <w:spacing w:after="0" w:line="262" w:lineRule="auto"/>
        <w:rPr>
          <w:sz w:val="20"/>
          <w:szCs w:val="20"/>
          <w:color w:val="auto"/>
        </w:rPr>
      </w:pPr>
      <w:r>
        <w:rPr>
          <w:rFonts w:ascii="Times New Roman" w:cs="Times New Roman" w:eastAsia="Times New Roman" w:hAnsi="Times New Roman"/>
          <w:sz w:val="18"/>
          <w:szCs w:val="18"/>
          <w:color w:val="auto"/>
        </w:rPr>
        <w:t>During the nine months ended September 30, 2003, net cash used in investing activities was $2.6 million, a decrease of $4.3 million as compared to the same period in 2002. This decrease reflects the acquisition of the Oil Shipping group of companies in January 2002, partially offset by an increase in capital expenditures.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 was $688 thousand for the nine months ended September 30, 2003, as compared to net cash used in financing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activities of $2.4 million for the corresponding nine months of 2002. The variance in cash flows from financing activities of $3.1 million reflects a reduction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$2.4 million in repayment of debt, a reduction of $1.3 million in proceeds from options exercised during the nine months ended September 30, 2003 as well as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of treasury stock under our treasury stock repurchase programs of $2.0 million during the nine months ended September 30, 2002.</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Working capital at September 30, 2003 was $102.8 million, representing an increase of $20.6 million from working capital at December 31, 2002.</w:t>
      </w:r>
    </w:p>
    <w:p>
      <w:pPr>
        <w:spacing w:after="0" w:line="158" w:lineRule="exact"/>
        <w:rPr>
          <w:sz w:val="20"/>
          <w:szCs w:val="20"/>
          <w:color w:val="auto"/>
        </w:rPr>
      </w:pPr>
    </w:p>
    <w:p>
      <w:pPr>
        <w:ind w:right="20" w:firstLine="456"/>
        <w:spacing w:after="0" w:line="255" w:lineRule="auto"/>
        <w:rPr>
          <w:sz w:val="20"/>
          <w:szCs w:val="20"/>
          <w:color w:val="auto"/>
        </w:rPr>
      </w:pPr>
      <w:r>
        <w:rPr>
          <w:rFonts w:ascii="Times New Roman" w:cs="Times New Roman" w:eastAsia="Times New Roman" w:hAnsi="Times New Roman"/>
          <w:sz w:val="18"/>
          <w:szCs w:val="18"/>
          <w:color w:val="auto"/>
        </w:rPr>
        <w:t>Our accounts and notes receivable, at September 30, 2003, excluding the allowance for bad debts, amounted to $179.3 million, a decrease of $9.2 million, as compared to the balance at December 31, 2002. At September 30, 2003, the allowance for bad debts of $11.7 million increased by $598 thousand from the balance at December 31, 2002. During the nine months ended September 30, 2003, we charged $5.5 million to the provision for bad debts, as compared to $2.1 million for the first nine months of 2002. We have charge-offs in excess of recoveries of $4.9 million for the nine months ended September 30, 2003, as compared to $2.0 million for the nine months ended September 30, 2002. The increase in the charge-offs in excess of recoveries was primarily related to receivables from two bankrupt international airlines.</w:t>
      </w:r>
    </w:p>
    <w:p>
      <w:pPr>
        <w:spacing w:after="0" w:line="126" w:lineRule="exact"/>
        <w:rPr>
          <w:sz w:val="20"/>
          <w:szCs w:val="20"/>
          <w:color w:val="auto"/>
        </w:rPr>
      </w:pPr>
    </w:p>
    <w:p>
      <w:pPr>
        <w:ind w:right="20" w:firstLine="456"/>
        <w:spacing w:after="0" w:line="262" w:lineRule="auto"/>
        <w:rPr>
          <w:sz w:val="20"/>
          <w:szCs w:val="20"/>
          <w:color w:val="auto"/>
        </w:rPr>
      </w:pPr>
      <w:r>
        <w:rPr>
          <w:rFonts w:ascii="Times New Roman" w:cs="Times New Roman" w:eastAsia="Times New Roman" w:hAnsi="Times New Roman"/>
          <w:sz w:val="18"/>
          <w:szCs w:val="18"/>
          <w:color w:val="auto"/>
        </w:rPr>
        <w:t>As of September 30, 2003, inventories of $16.6 million increased $11.4 million from December 31, 2002. This increase was primarily due to changes in the fuel supply process and wholesale transactions at September 30, 2003, which were subsequently billed in the following month. Prepaid expenses and other current assets of $27.4 million at September 30, 2003 increased $5.2 million from December 31, 2002. This increase was due to</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55"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increases in prepaid fuel and deferred tax assets, partially offset by a lower receivable recorded for the fair market value of our outstanding derivatives. Net goodwill, identifiable intangible asset, and investment goodwill decreased $276 thousand, to $38.1 million, due to the amortization of the identifiable intangible asset.</w:t>
      </w:r>
    </w:p>
    <w:p>
      <w:pPr>
        <w:spacing w:after="0" w:line="119" w:lineRule="exact"/>
        <w:rPr>
          <w:sz w:val="20"/>
          <w:szCs w:val="20"/>
          <w:color w:val="auto"/>
        </w:rPr>
      </w:pPr>
    </w:p>
    <w:p>
      <w:pPr>
        <w:jc w:val="both"/>
        <w:ind w:right="560" w:firstLine="456"/>
        <w:spacing w:after="0" w:line="262" w:lineRule="auto"/>
        <w:rPr>
          <w:sz w:val="20"/>
          <w:szCs w:val="20"/>
          <w:color w:val="auto"/>
        </w:rPr>
      </w:pPr>
      <w:r>
        <w:rPr>
          <w:rFonts w:ascii="Times New Roman" w:cs="Times New Roman" w:eastAsia="Times New Roman" w:hAnsi="Times New Roman"/>
          <w:sz w:val="18"/>
          <w:szCs w:val="18"/>
          <w:color w:val="auto"/>
        </w:rPr>
        <w:t>Our other current liabilities increased $7.5 million due to increases in both our income taxes payable and accruals for performance based incentive compensation payouts. Long-term debt and short-term debt, in the aggregate, increased by $2.6 million due to borrowings of $5.0 million from our credit facilities, partially offset primarily by repayment of our debt.</w:t>
      </w:r>
    </w:p>
    <w:p>
      <w:pPr>
        <w:spacing w:after="0" w:line="119" w:lineRule="exact"/>
        <w:rPr>
          <w:sz w:val="20"/>
          <w:szCs w:val="20"/>
          <w:color w:val="auto"/>
        </w:rPr>
      </w:pPr>
    </w:p>
    <w:p>
      <w:pPr>
        <w:ind w:right="580" w:firstLine="456"/>
        <w:spacing w:after="0" w:line="262" w:lineRule="auto"/>
        <w:rPr>
          <w:sz w:val="20"/>
          <w:szCs w:val="20"/>
          <w:color w:val="auto"/>
        </w:rPr>
      </w:pPr>
      <w:r>
        <w:rPr>
          <w:rFonts w:ascii="Times New Roman" w:cs="Times New Roman" w:eastAsia="Times New Roman" w:hAnsi="Times New Roman"/>
          <w:sz w:val="18"/>
          <w:szCs w:val="18"/>
          <w:color w:val="auto"/>
        </w:rPr>
        <w:t>Stockholders’ equity amounted to $143.1 million at September 30, 2003, as compared to $127.7 million at December 31, 2002. The increase in stockholders’ equity was primarily due to $16.2 million in earnings and $608 thousand received from the exercise of stock options, partially offset by the declaration of dividends of $2.4 million and the amortization of unearned deferred compensation of $620 thousand.</w:t>
      </w:r>
    </w:p>
    <w:p>
      <w:pPr>
        <w:spacing w:after="0" w:line="119"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We believe that available funds from existing cash and cash equivalents, our credit facility, and cash flows generated by operations will be sufficient to fund our working capital and capital expenditure requirements for the next twelve months. Our opinions concerning liquidity and our ability to obtain financing are based on currently available information. To the extent this information proves to be inaccurate, or if circumstances change, future availability of trade credit or other sources of financing may be reduced and our liquidity would be adversely affected. Factors that may affect the availability of trade credit, or other financing, include our performance (as measured by various factors including cash provided from operating activities), the state of worldwide credit markets, and our levels of outstanding debt. In addition, we may decide to raise additional funds to respond to competitive pressures or to acquire complementary businesses. Accordingly, we cannot guarantee that financing will be available when needed or desired on terms favorable to 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Commercial Commitments and Off-Balance Sheet Arrangements</w:t>
      </w:r>
    </w:p>
    <w:p>
      <w:pPr>
        <w:spacing w:after="0" w:line="79" w:lineRule="exact"/>
        <w:rPr>
          <w:sz w:val="20"/>
          <w:szCs w:val="20"/>
          <w:color w:val="auto"/>
        </w:rPr>
      </w:pPr>
    </w:p>
    <w:p>
      <w:pPr>
        <w:ind w:right="300" w:firstLine="456"/>
        <w:spacing w:after="0" w:line="310" w:lineRule="auto"/>
        <w:rPr>
          <w:sz w:val="20"/>
          <w:szCs w:val="20"/>
          <w:color w:val="auto"/>
        </w:rPr>
      </w:pPr>
      <w:r>
        <w:rPr>
          <w:rFonts w:ascii="Times New Roman" w:cs="Times New Roman" w:eastAsia="Times New Roman" w:hAnsi="Times New Roman"/>
          <w:sz w:val="16"/>
          <w:szCs w:val="16"/>
          <w:color w:val="auto"/>
        </w:rPr>
        <w:t>Except for changes in our letters of credit and purchase and sale commitments and derivatives, as described below, our contractual obligations and commercial commitments did not change materially from December 31, 2002 to September 30, 2003. For a discussion of these matters, refer to “Contractual Obligations, Commercial Commitments and Off-Balance Sheet Arrangements” in Item 7 of our 10-K Report for the nine months ended December 31, 2002.</w:t>
      </w:r>
    </w:p>
    <w:p>
      <w:pPr>
        <w:spacing w:after="0" w:line="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79"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we are required to provide letters of credit to certain suppliers. A majority of these letters of credit expire within one year from their issuance, and expired letters of credit are renewed as needed. As of September 30, 2003, we had letters of credit outstanding of $16.2 million, as compared to $14.4 million in letters of credit outstanding as of December 31, 2002. The letters of credit were issued under our revolving credit facility, and count against the $40.0 million limit on total borrowings under this facility. For additional information on our revolving credit facility and letters of credit, see the discussion thereof in “Liquidity and Capital Resources,” above.</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Purchase and Sale Commitments and Derivatives</w:t>
      </w:r>
    </w:p>
    <w:p>
      <w:pPr>
        <w:spacing w:after="0" w:line="79" w:lineRule="exact"/>
        <w:rPr>
          <w:sz w:val="20"/>
          <w:szCs w:val="20"/>
          <w:color w:val="auto"/>
        </w:rPr>
      </w:pPr>
    </w:p>
    <w:p>
      <w:pPr>
        <w:ind w:right="600" w:firstLine="456"/>
        <w:spacing w:after="0" w:line="275" w:lineRule="auto"/>
        <w:rPr>
          <w:sz w:val="20"/>
          <w:szCs w:val="20"/>
          <w:color w:val="auto"/>
        </w:rPr>
      </w:pPr>
      <w:r>
        <w:rPr>
          <w:rFonts w:ascii="Times New Roman" w:cs="Times New Roman" w:eastAsia="Times New Roman" w:hAnsi="Times New Roman"/>
          <w:sz w:val="18"/>
          <w:szCs w:val="18"/>
          <w:color w:val="auto"/>
        </w:rPr>
        <w:t>See “Item 3 – Quantitative and Qualitative Disclosures About Market Risk,” included in this Form 10-Q, for a discussion of our purchase and sale commitments and derivatives.</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40"/>
          </w:cols>
          <w:pgMar w:left="240" w:top="455" w:right="31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79" w:lineRule="exact"/>
        <w:rPr>
          <w:sz w:val="20"/>
          <w:szCs w:val="20"/>
          <w:color w:val="auto"/>
        </w:rPr>
      </w:pPr>
    </w:p>
    <w:p>
      <w:pPr>
        <w:jc w:val="both"/>
        <w:ind w:right="440" w:firstLine="456"/>
        <w:spacing w:after="0" w:line="262" w:lineRule="auto"/>
        <w:rPr>
          <w:sz w:val="20"/>
          <w:szCs w:val="20"/>
          <w:color w:val="auto"/>
        </w:rPr>
      </w:pPr>
      <w:r>
        <w:rPr>
          <w:rFonts w:ascii="Times New Roman" w:cs="Times New Roman" w:eastAsia="Times New Roman" w:hAnsi="Times New Roman"/>
          <w:sz w:val="18"/>
          <w:szCs w:val="18"/>
          <w:color w:val="auto"/>
        </w:rPr>
        <w:t>To take advantage of favorable market conditions or for competitive reasons, we enter into short-term cancelable fuel purchase commitments for the physical delivery of product. We simultaneously may hedge the physical delivery of fuel through a commodity based derivative instrument, to minimize the effects of commodity price fluctuations.</w:t>
      </w:r>
    </w:p>
    <w:p>
      <w:pPr>
        <w:spacing w:after="0" w:line="119" w:lineRule="exact"/>
        <w:rPr>
          <w:sz w:val="20"/>
          <w:szCs w:val="20"/>
          <w:color w:val="auto"/>
        </w:rPr>
      </w:pPr>
    </w:p>
    <w:p>
      <w:pPr>
        <w:ind w:right="100" w:firstLine="456"/>
        <w:spacing w:after="0" w:line="255" w:lineRule="auto"/>
        <w:rPr>
          <w:sz w:val="20"/>
          <w:szCs w:val="20"/>
          <w:color w:val="auto"/>
        </w:rPr>
      </w:pPr>
      <w:r>
        <w:rPr>
          <w:rFonts w:ascii="Times New Roman" w:cs="Times New Roman" w:eastAsia="Times New Roman" w:hAnsi="Times New Roman"/>
          <w:sz w:val="18"/>
          <w:szCs w:val="18"/>
          <w:color w:val="auto"/>
        </w:rPr>
        <w:t>As part of our price risk management services, we offer to our marine and aviation customers fixed fuel prices on future sales with, or without, physical delivery of fuel. Typically, we simultaneously enter into a commodity based derivative instrument with a counterparty to hedge our variable fuel price on related future purchases with, or without, physical delivery of fuel. The counterparties are major oil companies and derivative trading firms. Accordingly, we do not anticipate non-performance by such counterparties. Pursuant to these transactions, we are not affected by market price fluctuations since the contracts have the same terms and conditions except for the fee or spread earned by us. Performance risk by the customer under these contracts is considered a credit risk. This risk is minimized by entering into these contracts and transactions only with customers meeting stricter credit criteria.</w:t>
      </w:r>
    </w:p>
    <w:p>
      <w:pPr>
        <w:spacing w:after="0" w:line="126" w:lineRule="exact"/>
        <w:rPr>
          <w:sz w:val="20"/>
          <w:szCs w:val="20"/>
          <w:color w:val="auto"/>
        </w:rPr>
      </w:pPr>
    </w:p>
    <w:p>
      <w:pPr>
        <w:ind w:right="120" w:firstLine="456"/>
        <w:spacing w:after="0" w:line="256" w:lineRule="auto"/>
        <w:rPr>
          <w:sz w:val="20"/>
          <w:szCs w:val="20"/>
          <w:color w:val="auto"/>
        </w:rPr>
      </w:pPr>
      <w:r>
        <w:rPr>
          <w:rFonts w:ascii="Times New Roman" w:cs="Times New Roman" w:eastAsia="Times New Roman" w:hAnsi="Times New Roman"/>
          <w:sz w:val="18"/>
          <w:szCs w:val="18"/>
          <w:color w:val="auto"/>
        </w:rPr>
        <w:t>As of September 30, 2003, we had 94 outstanding swaps contracts totaling 130 thousand metric tons of marine fuel, expiring through December 2005 and 48 outstanding swap contracts totaling 15.0 million gallons of aviation fuel expiring through July 2004. As of September 30, 2003, we have recorded our derivatives, which consisted of swap contracts to hedge fixed fuel prices on future sales to our customers with, or without, physical delivery of fuel at their fair market value of $2.1 million. In the accompanying Condensed Consolidated Balance Sheets, such amount was included as Prepaid expenses and other current assets with an offsetting amount in Accrued expenses.</w:t>
      </w:r>
    </w:p>
    <w:p>
      <w:pPr>
        <w:spacing w:after="0" w:line="12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We conduct the vast majority of our business transactions in U.S. dollars. However, in certain markets, primarily in Mexico, payments to our aviation fuel supplier are denominated in local currency. In addition, in Mexico, payments from some of our customers are also denominated in local currency. This subjects us to foreign currency exchange risk, which may adversely affect our results of operations and financial condition. We seek to minimize the risks from currency exchange rate fluctuations through our regular operating and financing activities.</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policy is to not use derivative financial instruments for speculative purposes.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79" w:lineRule="exact"/>
        <w:rPr>
          <w:sz w:val="20"/>
          <w:szCs w:val="20"/>
          <w:color w:val="auto"/>
        </w:rPr>
      </w:pPr>
    </w:p>
    <w:p>
      <w:pPr>
        <w:ind w:right="120" w:firstLine="456"/>
        <w:spacing w:after="0" w:line="275"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the reports that we file or submit, is recorded, processed, summarized and reported, within the time periods specified in the Securities and Exchange Commission’s rules and forms.</w:t>
      </w:r>
    </w:p>
    <w:p>
      <w:pPr>
        <w:spacing w:after="0" w:line="106" w:lineRule="exact"/>
        <w:rPr>
          <w:sz w:val="20"/>
          <w:szCs w:val="20"/>
          <w:color w:val="auto"/>
        </w:rPr>
      </w:pPr>
    </w:p>
    <w:p>
      <w:pPr>
        <w:ind w:right="160" w:firstLine="456"/>
        <w:spacing w:after="0" w:line="339" w:lineRule="auto"/>
        <w:rPr>
          <w:sz w:val="20"/>
          <w:szCs w:val="20"/>
          <w:color w:val="auto"/>
        </w:rPr>
      </w:pPr>
      <w:r>
        <w:rPr>
          <w:rFonts w:ascii="Times New Roman" w:cs="Times New Roman" w:eastAsia="Times New Roman" w:hAnsi="Times New Roman"/>
          <w:sz w:val="16"/>
          <w:szCs w:val="16"/>
          <w:color w:val="auto"/>
        </w:rPr>
        <w:t>We have evaluated our disclosure controls and procedures during the last 90 days. Based on such evaluation, our Chief Executive Officer (“CEO”), Chief Operating Officer (“COO”) and Chief Financial Officer (“CFO”) believe that such controls and procedures are effective to achieve the above objectives.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7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Our CEO, COO and CFO have determined, based upon our most recent evaluation, that there have been no significant changes in our internal controls that could significantly affect our internal controls and procedures subsequent to that evaluation.</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00"/>
          </w:cols>
          <w:pgMar w:left="240" w:top="45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79" w:lineRule="exact"/>
        <w:rPr>
          <w:sz w:val="20"/>
          <w:szCs w:val="20"/>
          <w:color w:val="auto"/>
        </w:rPr>
      </w:pPr>
    </w:p>
    <w:p>
      <w:pPr>
        <w:ind w:firstLine="456"/>
        <w:spacing w:after="0" w:line="288" w:lineRule="auto"/>
        <w:rPr>
          <w:sz w:val="20"/>
          <w:szCs w:val="20"/>
          <w:color w:val="auto"/>
        </w:rPr>
      </w:pPr>
      <w:r>
        <w:rPr>
          <w:rFonts w:ascii="Times New Roman" w:cs="Times New Roman" w:eastAsia="Times New Roman" w:hAnsi="Times New Roman"/>
          <w:sz w:val="16"/>
          <w:szCs w:val="16"/>
          <w:color w:val="auto"/>
        </w:rPr>
        <w:t>Our management, including our CEO, COO and CFO, does not expect that our disclosure controls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20"/>
          </w:cols>
          <w:pgMar w:left="240" w:top="455" w:right="3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79" w:lineRule="exact"/>
        <w:rPr>
          <w:sz w:val="20"/>
          <w:szCs w:val="20"/>
          <w:color w:val="auto"/>
        </w:rPr>
      </w:pPr>
    </w:p>
    <w:p>
      <w:pPr>
        <w:ind w:right="60" w:firstLine="456"/>
        <w:spacing w:after="0" w:line="275" w:lineRule="auto"/>
        <w:rPr>
          <w:sz w:val="20"/>
          <w:szCs w:val="20"/>
          <w:color w:val="auto"/>
        </w:rPr>
      </w:pPr>
      <w:r>
        <w:rPr>
          <w:rFonts w:ascii="Times New Roman" w:cs="Times New Roman" w:eastAsia="Times New Roman" w:hAnsi="Times New Roman"/>
          <w:sz w:val="18"/>
          <w:szCs w:val="18"/>
          <w:color w:val="auto"/>
        </w:rPr>
        <w:t>As described in Item 3 of our 10-K Report for the nine months ended December 31, 2002, we are involved in certain material legal proceedings. There has been no material development in those proceedings since the filing of our 10-K Report.</w:t>
      </w:r>
    </w:p>
    <w:p>
      <w:pPr>
        <w:spacing w:after="0" w:line="106"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In addition to the matters described in our 10-K Report for the nine months ended December 31, 2002, we are also involved in litigation and administrative proceedings primarily arising in the normal course of our business. In the opinion of management, except as set forth in our 10-K Report for the nine months ended December 31, 2002, our liability, if any, under any pending litigation or administrative proceedings will not materially affect our financial condition or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Changes in Securities and Use of Proceeds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1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79" w:lineRule="exact"/>
        <w:rPr>
          <w:sz w:val="20"/>
          <w:szCs w:val="20"/>
          <w:color w:val="auto"/>
        </w:rPr>
      </w:pPr>
    </w:p>
    <w:p>
      <w:pPr>
        <w:ind w:right="60" w:firstLine="456"/>
        <w:spacing w:after="0" w:line="256" w:lineRule="auto"/>
        <w:rPr>
          <w:sz w:val="20"/>
          <w:szCs w:val="20"/>
          <w:color w:val="auto"/>
        </w:rPr>
      </w:pPr>
      <w:r>
        <w:rPr>
          <w:rFonts w:ascii="Times New Roman" w:cs="Times New Roman" w:eastAsia="Times New Roman" w:hAnsi="Times New Roman"/>
          <w:sz w:val="18"/>
          <w:szCs w:val="18"/>
          <w:color w:val="auto"/>
        </w:rPr>
        <w:t>In October 2003, our Board of Directors approved two amendments to the employment agreements, dated July 26, 2003, of our Chief Executive Officer and our Chief Operating Officer. The first amendment deletes Section 2.2(b)(i) of the agreements, which provided that the aggregate of bonuses paid to our five most highly compensated executive officers in any year cannot exceed an amount equal to 50% of any increment in net earnings earned by us in excess of the net earnings required to achieve or exceed a target performance goal of 11.5% growth in earnings per share. The Board concluded that this limitation was no longer appropriate or necessary after the executives’ bonus formulas and performance goals were revised in the first quarter of 2003.</w:t>
      </w:r>
    </w:p>
    <w:p>
      <w:pPr>
        <w:spacing w:after="0" w:line="125"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The second amendment provides that, following a Change of Control of World Fuel Services Corporation which is not approved in advance by our Board, the executive will be released from the non-compete covenant in his employment agreement if his employment is terminated by World Fuel Services Corporation without Cause or by the executive for Good Reason (as such terms are defined in the employment agreements), at any time within three years after the Change of Control. The executive would also be released from his non-compete covenant if he resigns, for any reason, within six months after any Change of Control of World Fuel Services Corporation which has not been approved in advance by our Board. The principal purpose of this amendment is to create an incentive for a prospective buyer of World Fuel Services Corporation to negotiate the terms of a Change of Control transaction with our Board, and thereby provide the Board an opportunity to negotiate more favorable price and terms for the transaction. To our knowledge, no Change of Control is currently threatened or contemplated with respect to World Fuel Services Corporation.</w:t>
      </w:r>
    </w:p>
    <w:p>
      <w:pPr>
        <w:spacing w:after="0" w:line="125" w:lineRule="exact"/>
        <w:rPr>
          <w:sz w:val="20"/>
          <w:szCs w:val="20"/>
          <w:color w:val="auto"/>
        </w:rPr>
      </w:pPr>
    </w:p>
    <w:p>
      <w:pPr>
        <w:ind w:right="160" w:firstLine="456"/>
        <w:spacing w:after="0" w:line="262" w:lineRule="auto"/>
        <w:rPr>
          <w:sz w:val="20"/>
          <w:szCs w:val="20"/>
          <w:color w:val="auto"/>
        </w:rPr>
      </w:pPr>
      <w:r>
        <w:rPr>
          <w:rFonts w:ascii="Times New Roman" w:cs="Times New Roman" w:eastAsia="Times New Roman" w:hAnsi="Times New Roman"/>
          <w:sz w:val="18"/>
          <w:szCs w:val="18"/>
          <w:color w:val="auto"/>
        </w:rPr>
        <w:t>A “Change of Control” is generally defined in the employment agreements as: (a) a purchase by a third party or group of 20% or more of our outstanding stock, (b) a merger or similar transaction resulting in a change of ownership of 51% of our stock, (c) the failure of our directors as of March 1, 2003 or their approved nominees to constitute at least 2/3 of our Board, or (d) a sale of all or substantially all of our assets.</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455" w:right="2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4" w:lineRule="exact"/>
        <w:rPr>
          <w:sz w:val="20"/>
          <w:szCs w:val="20"/>
          <w:color w:val="auto"/>
        </w:rPr>
      </w:pPr>
    </w:p>
    <w:p>
      <w:pPr>
        <w:ind w:right="20" w:firstLine="456"/>
        <w:spacing w:after="0" w:line="275" w:lineRule="auto"/>
        <w:rPr>
          <w:sz w:val="20"/>
          <w:szCs w:val="20"/>
          <w:color w:val="auto"/>
        </w:rPr>
      </w:pPr>
      <w:r>
        <w:rPr>
          <w:rFonts w:ascii="Times New Roman" w:cs="Times New Roman" w:eastAsia="Times New Roman" w:hAnsi="Times New Roman"/>
          <w:sz w:val="18"/>
          <w:szCs w:val="18"/>
          <w:color w:val="auto"/>
        </w:rPr>
        <w:t>The above amendments were signed on October 29, 2003, and are included as Exhibits 10.1 and 10.2 of this Form 10-Q. The original employment agreements, dated July 26, 2003, were filed as Exhibits to our Form 10-K for the nine months ended December 31, 2002.</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 and reports on Form 8-K</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The exhibits set forth in the following index of exhibits are filed as part of this Form 10-Q:</w:t>
      </w:r>
    </w:p>
    <w:p>
      <w:pPr>
        <w:spacing w:after="0" w:line="155" w:lineRule="exact"/>
        <w:rPr>
          <w:sz w:val="20"/>
          <w:szCs w:val="20"/>
          <w:color w:val="auto"/>
        </w:rPr>
      </w:pPr>
    </w:p>
    <w:p>
      <w:pPr>
        <w:ind w:left="960"/>
        <w:spacing w:after="0"/>
        <w:tabs>
          <w:tab w:leader="none" w:pos="188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71120</wp:posOffset>
            </wp:positionV>
            <wp:extent cx="123507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08" w:lineRule="exact"/>
        <w:rPr>
          <w:sz w:val="20"/>
          <w:szCs w:val="20"/>
          <w:color w:val="auto"/>
        </w:rPr>
      </w:pPr>
    </w:p>
    <w:p>
      <w:pPr>
        <w:ind w:left="1900" w:right="340" w:hanging="760"/>
        <w:spacing w:after="0" w:line="275" w:lineRule="auto"/>
        <w:tabs>
          <w:tab w:leader="none" w:pos="18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Amendment to Employment Agreement with Mr. Paul Stebbins, Chairman to the Board of Directors and Chief Executive Officer, dated October 29, 2003.</w:t>
      </w:r>
    </w:p>
    <w:p>
      <w:pPr>
        <w:spacing w:after="0" w:line="66" w:lineRule="exact"/>
        <w:rPr>
          <w:sz w:val="20"/>
          <w:szCs w:val="20"/>
          <w:color w:val="auto"/>
        </w:rPr>
      </w:pPr>
    </w:p>
    <w:p>
      <w:pPr>
        <w:ind w:left="1140"/>
        <w:spacing w:after="0"/>
        <w:tabs>
          <w:tab w:leader="none" w:pos="18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6"/>
          <w:szCs w:val="16"/>
          <w:color w:val="auto"/>
        </w:rPr>
        <w:t>Amendment to Employment Agreement with Mr. Michael Kasbar, President and Chief Operating Officer, dated October</w:t>
      </w:r>
    </w:p>
    <w:p>
      <w:pPr>
        <w:spacing w:after="0" w:line="2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29, 2003.</w:t>
      </w:r>
    </w:p>
    <w:p>
      <w:pPr>
        <w:spacing w:after="0" w:line="105" w:lineRule="exact"/>
        <w:rPr>
          <w:sz w:val="20"/>
          <w:szCs w:val="20"/>
          <w:color w:val="auto"/>
        </w:rPr>
      </w:pPr>
    </w:p>
    <w:p>
      <w:pPr>
        <w:ind w:left="1140"/>
        <w:spacing w:after="0"/>
        <w:tabs>
          <w:tab w:leader="none" w:pos="18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6"/>
          <w:szCs w:val="16"/>
          <w:color w:val="auto"/>
        </w:rPr>
        <w:t>Certification of the Chief Executive Officer pursuant to Rule 15d – 14(a).</w:t>
      </w:r>
    </w:p>
    <w:p>
      <w:pPr>
        <w:spacing w:after="0" w:line="117" w:lineRule="exact"/>
        <w:rPr>
          <w:sz w:val="20"/>
          <w:szCs w:val="20"/>
          <w:color w:val="auto"/>
        </w:rPr>
      </w:pPr>
    </w:p>
    <w:p>
      <w:pPr>
        <w:ind w:left="1140"/>
        <w:spacing w:after="0"/>
        <w:tabs>
          <w:tab w:leader="none" w:pos="18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6"/>
          <w:szCs w:val="16"/>
          <w:color w:val="auto"/>
        </w:rPr>
        <w:t>Certification of the Chief Operating Officer pursuant to Rule 15d – 14(a).</w:t>
      </w:r>
    </w:p>
    <w:p>
      <w:pPr>
        <w:spacing w:after="0" w:line="117" w:lineRule="exact"/>
        <w:rPr>
          <w:sz w:val="20"/>
          <w:szCs w:val="20"/>
          <w:color w:val="auto"/>
        </w:rPr>
      </w:pPr>
    </w:p>
    <w:p>
      <w:pPr>
        <w:ind w:left="1140"/>
        <w:spacing w:after="0"/>
        <w:tabs>
          <w:tab w:leader="none" w:pos="188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6"/>
          <w:szCs w:val="16"/>
          <w:color w:val="auto"/>
        </w:rPr>
        <w:t>Certification of the Chief Financial Officer pursuant to Rule 15d – 14(a).</w:t>
      </w:r>
    </w:p>
    <w:p>
      <w:pPr>
        <w:spacing w:after="0" w:line="117" w:lineRule="exact"/>
        <w:rPr>
          <w:sz w:val="20"/>
          <w:szCs w:val="20"/>
          <w:color w:val="auto"/>
        </w:rPr>
      </w:pPr>
    </w:p>
    <w:p>
      <w:pPr>
        <w:ind w:left="1140"/>
        <w:spacing w:after="0"/>
        <w:tabs>
          <w:tab w:leader="none" w:pos="18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6"/>
          <w:szCs w:val="16"/>
          <w:color w:val="auto"/>
        </w:rPr>
        <w:t>Certification of the Chief Executive Officer pursuant to 18 U.S.C. § 1350.</w:t>
      </w:r>
    </w:p>
    <w:p>
      <w:pPr>
        <w:spacing w:after="0" w:line="117" w:lineRule="exact"/>
        <w:rPr>
          <w:sz w:val="20"/>
          <w:szCs w:val="20"/>
          <w:color w:val="auto"/>
        </w:rPr>
      </w:pPr>
    </w:p>
    <w:p>
      <w:pPr>
        <w:ind w:left="1140"/>
        <w:spacing w:after="0"/>
        <w:tabs>
          <w:tab w:leader="none" w:pos="18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6"/>
          <w:szCs w:val="16"/>
          <w:color w:val="auto"/>
        </w:rPr>
        <w:t>Certification of the Chief Operating Officer pursuant to 18 U.S.C. § 1350.</w:t>
      </w:r>
    </w:p>
    <w:p>
      <w:pPr>
        <w:spacing w:after="0" w:line="117" w:lineRule="exact"/>
        <w:rPr>
          <w:sz w:val="20"/>
          <w:szCs w:val="20"/>
          <w:color w:val="auto"/>
        </w:rPr>
      </w:pPr>
    </w:p>
    <w:p>
      <w:pPr>
        <w:ind w:left="1140"/>
        <w:spacing w:after="0"/>
        <w:tabs>
          <w:tab w:leader="none" w:pos="188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6"/>
          <w:szCs w:val="16"/>
          <w:color w:val="auto"/>
        </w:rPr>
        <w:t>Certification of the Chief Financial Officer pursuant to 18 U.S.C. § 1350.</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 Reports on Form 8-K.</w:t>
      </w:r>
    </w:p>
    <w:p>
      <w:pPr>
        <w:spacing w:after="0" w:line="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On August 2, 2003, we filed a Current Report on Form 8-K to report the results of operations for the three months ended June 30, 2003.</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780"/>
          </w:cols>
          <w:pgMar w:left="240" w:top="455" w:right="87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2"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0"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0940"/>
          </w:cols>
          <w:pgMar w:left="240" w:top="455" w:right="7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5, 2003</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World Fuel Services Corporation</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83820</wp:posOffset>
            </wp:positionV>
            <wp:extent cx="355028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Kasbar, President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83820</wp:posOffset>
            </wp:positionV>
            <wp:extent cx="355028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Francis X. Shea, Executive Vice President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(Principal Financial and Accounting Officer)</w:t>
      </w:r>
    </w:p>
    <w:p>
      <w:pPr>
        <w:spacing w:after="0" w:line="168" w:lineRule="exact"/>
        <w:rPr>
          <w:sz w:val="20"/>
          <w:szCs w:val="20"/>
          <w:color w:val="auto"/>
        </w:rPr>
      </w:pPr>
    </w:p>
    <w:p>
      <w:pPr>
        <w:sectPr>
          <w:pgSz w:w="11900" w:h="16838" w:orient="portrait"/>
          <w:cols w:equalWidth="0" w:num="2">
            <w:col w:w="5100" w:space="720"/>
            <w:col w:w="5120"/>
          </w:cols>
          <w:pgMar w:left="240" w:top="455" w:right="719" w:bottom="1440" w:gutter="0" w:footer="0" w:header="0"/>
          <w:type w:val="continuous"/>
        </w:sectPr>
      </w:pPr>
    </w:p>
    <w:p>
      <w:pPr>
        <w:jc w:val="center"/>
        <w:ind w:right="-4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240" w:top="455" w:right="719" w:bottom="1440" w:gutter="0" w:footer="0" w:header="0"/>
          <w:type w:val="continuous"/>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29, 2003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Paul H. Stebbins</w:t>
      </w:r>
    </w:p>
    <w:p>
      <w:pPr>
        <w:spacing w:after="0" w:line="232" w:lineRule="auto"/>
        <w:rPr>
          <w:sz w:val="20"/>
          <w:szCs w:val="20"/>
          <w:color w:val="auto"/>
        </w:rPr>
      </w:pPr>
      <w:r>
        <w:rPr>
          <w:rFonts w:ascii="Times New Roman" w:cs="Times New Roman" w:eastAsia="Times New Roman" w:hAnsi="Times New Roman"/>
          <w:sz w:val="18"/>
          <w:szCs w:val="18"/>
          <w:color w:val="auto"/>
        </w:rPr>
        <w:t>9800 NW 41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Street, Suite 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 33178</w:t>
      </w:r>
    </w:p>
    <w:p>
      <w:pPr>
        <w:spacing w:after="0" w:line="134" w:lineRule="exact"/>
        <w:rPr>
          <w:sz w:val="20"/>
          <w:szCs w:val="20"/>
          <w:color w:val="auto"/>
        </w:rPr>
      </w:pPr>
    </w:p>
    <w:p>
      <w:pPr>
        <w:ind w:left="900" w:right="760" w:hanging="439"/>
        <w:spacing w:after="0" w:line="280" w:lineRule="auto"/>
        <w:tabs>
          <w:tab w:leader="none" w:pos="880" w:val="left"/>
        </w:tabs>
        <w:rPr>
          <w:sz w:val="20"/>
          <w:szCs w:val="20"/>
          <w:color w:val="auto"/>
        </w:rPr>
      </w:pPr>
      <w:r>
        <w:rPr>
          <w:rFonts w:ascii="Times New Roman" w:cs="Times New Roman" w:eastAsia="Times New Roman" w:hAnsi="Times New Roman"/>
          <w:sz w:val="18"/>
          <w:szCs w:val="18"/>
          <w:b w:val="1"/>
          <w:bCs w:val="1"/>
          <w:i w:val="1"/>
          <w:iCs w:val="1"/>
          <w:color w:val="auto"/>
        </w:rPr>
        <w:t>Re:</w:t>
        <w:tab/>
        <w:t>Employment Agreement dated July 26, 2002 by and between World Fuel Services Corporation and Paul H. Stebbins (the “Employment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Paul:</w:t>
      </w:r>
    </w:p>
    <w:p>
      <w:pPr>
        <w:spacing w:after="0" w:line="15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This letter amends the terms of the above-referenced Employment Agreement. All capitalized terms used, and not otherwise defined herein, shall have the meanings assigned to them in the Employment Agreement. For valuable consideration, we have agreed as follows:</w:t>
      </w:r>
    </w:p>
    <w:p>
      <w:pPr>
        <w:spacing w:after="0" w:line="106"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Regarding Non-Compete Covenants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1.1 In the event that (i) a Change of Control in the Company (other than a Permitted Change of Control, as defined below) shall occur during the Employment Term, and (ii) on or before the third anniversary of the Change of Control, either (x) the Term of Employment is terminated by the Company without Cause (or the Term of Employment expires because the Company has refused to extend the Term without Cause), or (y) the Executive terminates the Term of Employment (or refuses to extend the Term) for Good Reason, the Executive shall be released from his obligations under Section 6 of the Employment Agreement. For this purpose, termination of employment by the Executive for any reason during the first six (6) months after the Change of Control (other than a Permitted Change of Control) shall be deemed a termination by the Executive for Good Reason.</w:t>
      </w:r>
    </w:p>
    <w:p>
      <w:pPr>
        <w:spacing w:after="0" w:line="12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1.2 The release of the aforesaid Section 6 covenants provided herein shall be in addition to, and not in limitation of, any other rights of Executive arising upon a Change of Control.</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1.3 For purposes of this agreement, a “Permitted Change of Control” is a Change of Control transaction which has been approved by the Board of Directors of the Company before the occurrence of the events giving rise to the Change of Control.</w:t>
      </w:r>
    </w:p>
    <w:p>
      <w:pPr>
        <w:sectPr>
          <w:pgSz w:w="11900" w:h="16838" w:orient="portrait"/>
          <w:cols w:equalWidth="0" w:num="1">
            <w:col w:w="11420"/>
          </w:cols>
          <w:pgMar w:left="240" w:top="125"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Paul H. Stebbins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2. </w:t>
      </w:r>
      <w:r>
        <w:rPr>
          <w:rFonts w:ascii="Times New Roman" w:cs="Times New Roman" w:eastAsia="Times New Roman" w:hAnsi="Times New Roman"/>
          <w:sz w:val="18"/>
          <w:szCs w:val="18"/>
          <w:u w:val="single" w:color="auto"/>
          <w:color w:val="auto"/>
        </w:rPr>
        <w:t>Amendment of Bonus Formula</w:t>
      </w:r>
      <w:r>
        <w:rPr>
          <w:rFonts w:ascii="Times New Roman" w:cs="Times New Roman" w:eastAsia="Times New Roman" w:hAnsi="Times New Roman"/>
          <w:sz w:val="18"/>
          <w:szCs w:val="18"/>
          <w:color w:val="auto"/>
        </w:rPr>
        <w:t>. Section 2.2(b)(i) of the Employment Agreement is hereby deleted in its entirety.</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letter may be executed in any number of counterparts, each of which shall be deemed an original, and all of which shall constitute one and the same instrument. This letter shall be accepted, effective and binding, for all purposes, when the parties shall have signed and transmitted to each other, by telecopier or otherwise, copies of this letter. Except as expressly amended hereby, the Employment Agreement shall remain in full force and effect and is hereby ratified by the parties. If the foregoing correctly sets forth the terms of the amendment, please sign this letter on the line provided below, whereupon it will constitute a binding agreement between you and the Company.</w:t>
      </w:r>
    </w:p>
    <w:p>
      <w:pPr>
        <w:spacing w:after="0" w:line="1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3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376"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John R. Benbow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John R. Benbow, Chairman, Compensation</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Committee of the Board of Directors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8987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H. Stebbins</w:t>
      </w:r>
    </w:p>
    <w:p>
      <w:pPr>
        <w:sectPr>
          <w:pgSz w:w="11900" w:h="16838" w:orient="portrait"/>
          <w:cols w:equalWidth="0" w:num="1">
            <w:col w:w="11380"/>
          </w:cols>
          <w:pgMar w:left="240" w:top="274" w:right="27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color w:val="auto"/>
        </w:rPr>
        <w:t>Exhibit 10.2</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October 29, 2003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Michael J. Kasbar</w:t>
      </w:r>
    </w:p>
    <w:p>
      <w:pPr>
        <w:spacing w:after="0" w:line="232" w:lineRule="auto"/>
        <w:rPr>
          <w:sz w:val="20"/>
          <w:szCs w:val="20"/>
          <w:color w:val="auto"/>
        </w:rPr>
      </w:pPr>
      <w:r>
        <w:rPr>
          <w:rFonts w:ascii="Times New Roman" w:cs="Times New Roman" w:eastAsia="Times New Roman" w:hAnsi="Times New Roman"/>
          <w:sz w:val="18"/>
          <w:szCs w:val="18"/>
          <w:color w:val="auto"/>
        </w:rPr>
        <w:t>9800 NW 41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8"/>
          <w:szCs w:val="18"/>
          <w:color w:val="auto"/>
        </w:rPr>
        <w:t xml:space="preserve"> Street, Suite 400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Miami, FL 33178</w:t>
      </w:r>
    </w:p>
    <w:p>
      <w:pPr>
        <w:spacing w:after="0" w:line="134" w:lineRule="exact"/>
        <w:rPr>
          <w:sz w:val="20"/>
          <w:szCs w:val="20"/>
          <w:color w:val="auto"/>
        </w:rPr>
      </w:pPr>
    </w:p>
    <w:p>
      <w:pPr>
        <w:ind w:left="900" w:right="700" w:hanging="439"/>
        <w:spacing w:after="0" w:line="280" w:lineRule="auto"/>
        <w:tabs>
          <w:tab w:leader="none" w:pos="880" w:val="left"/>
        </w:tabs>
        <w:rPr>
          <w:sz w:val="20"/>
          <w:szCs w:val="20"/>
          <w:color w:val="auto"/>
        </w:rPr>
      </w:pPr>
      <w:r>
        <w:rPr>
          <w:rFonts w:ascii="Times New Roman" w:cs="Times New Roman" w:eastAsia="Times New Roman" w:hAnsi="Times New Roman"/>
          <w:sz w:val="18"/>
          <w:szCs w:val="18"/>
          <w:b w:val="1"/>
          <w:bCs w:val="1"/>
          <w:i w:val="1"/>
          <w:iCs w:val="1"/>
          <w:color w:val="auto"/>
        </w:rPr>
        <w:t>Re:</w:t>
        <w:tab/>
        <w:t>Employment Agreement dated July 26, 2002 by and between World Fuel ServicesCorporation and Michael J. Kasbar (the “Employment Agreement”).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Michael:</w:t>
      </w:r>
    </w:p>
    <w:p>
      <w:pPr>
        <w:spacing w:after="0" w:line="158" w:lineRule="exact"/>
        <w:rPr>
          <w:sz w:val="20"/>
          <w:szCs w:val="20"/>
          <w:color w:val="auto"/>
        </w:rPr>
      </w:pPr>
    </w:p>
    <w:p>
      <w:pPr>
        <w:ind w:right="140" w:firstLine="456"/>
        <w:spacing w:after="0" w:line="275" w:lineRule="auto"/>
        <w:rPr>
          <w:sz w:val="20"/>
          <w:szCs w:val="20"/>
          <w:color w:val="auto"/>
        </w:rPr>
      </w:pPr>
      <w:r>
        <w:rPr>
          <w:rFonts w:ascii="Times New Roman" w:cs="Times New Roman" w:eastAsia="Times New Roman" w:hAnsi="Times New Roman"/>
          <w:sz w:val="18"/>
          <w:szCs w:val="18"/>
          <w:color w:val="auto"/>
        </w:rPr>
        <w:t>This letter amends the terms of the above-referenced Employment Agreement. All capitalized terms used, and not otherwise defined herein, shall have the meanings assigned to them in the Employment Agreement. For valuable consideration, we have agreed as follows:</w:t>
      </w:r>
    </w:p>
    <w:p>
      <w:pPr>
        <w:spacing w:after="0" w:line="106" w:lineRule="exact"/>
        <w:rPr>
          <w:sz w:val="20"/>
          <w:szCs w:val="20"/>
          <w:color w:val="auto"/>
        </w:rPr>
      </w:pPr>
    </w:p>
    <w:p>
      <w:pPr>
        <w:ind w:left="460" w:hanging="452"/>
        <w:spacing w:after="0"/>
        <w:tabs>
          <w:tab w:leader="none" w:pos="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Regarding Non-Compete Covenants</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firstLine="456"/>
        <w:spacing w:after="0" w:line="255" w:lineRule="auto"/>
        <w:rPr>
          <w:sz w:val="20"/>
          <w:szCs w:val="20"/>
          <w:color w:val="auto"/>
        </w:rPr>
      </w:pPr>
      <w:r>
        <w:rPr>
          <w:rFonts w:ascii="Times New Roman" w:cs="Times New Roman" w:eastAsia="Times New Roman" w:hAnsi="Times New Roman"/>
          <w:sz w:val="18"/>
          <w:szCs w:val="18"/>
          <w:color w:val="auto"/>
        </w:rPr>
        <w:t>1.1 In the event that (i) a Change of Control in the Company (other than a Permitted Change of Control, as defined below) shall occur during the Employment Term, and (ii) on or before the third anniversary of the Change of Control, either (x) the Term of Employment is terminated by the Company without Cause (or the Term of Employment expires because the Company has refused to extend the Term without Cause), or (y) the Executive terminates the Term of Employment (or refuses to extend the Term) for Good Reason, the Executive shall be released from his obligations under Section 6 of the Employment Agreement. For this purpose, termination of employment by the Executive for any reason during the first six (6) months after the Change of Control (other than a Permitted Change of Control) shall be deemed a termination by the Executive for Good Reason.</w:t>
      </w:r>
    </w:p>
    <w:p>
      <w:pPr>
        <w:spacing w:after="0" w:line="126" w:lineRule="exact"/>
        <w:rPr>
          <w:sz w:val="20"/>
          <w:szCs w:val="20"/>
          <w:color w:val="auto"/>
        </w:rPr>
      </w:pPr>
    </w:p>
    <w:p>
      <w:pPr>
        <w:ind w:right="240" w:firstLine="456"/>
        <w:spacing w:after="0" w:line="275" w:lineRule="auto"/>
        <w:rPr>
          <w:sz w:val="20"/>
          <w:szCs w:val="20"/>
          <w:color w:val="auto"/>
        </w:rPr>
      </w:pPr>
      <w:r>
        <w:rPr>
          <w:rFonts w:ascii="Times New Roman" w:cs="Times New Roman" w:eastAsia="Times New Roman" w:hAnsi="Times New Roman"/>
          <w:sz w:val="18"/>
          <w:szCs w:val="18"/>
          <w:color w:val="auto"/>
        </w:rPr>
        <w:t>1.2 The release of the aforesaid Section 6 covenants provided herein shall be in addition to, and not in limitation of, any other rights of Executive arising upon a Change of Control.</w:t>
      </w:r>
    </w:p>
    <w:p>
      <w:pPr>
        <w:spacing w:after="0" w:line="106" w:lineRule="exact"/>
        <w:rPr>
          <w:sz w:val="20"/>
          <w:szCs w:val="20"/>
          <w:color w:val="auto"/>
        </w:rPr>
      </w:pPr>
    </w:p>
    <w:p>
      <w:pPr>
        <w:ind w:firstLine="456"/>
        <w:spacing w:after="0" w:line="275" w:lineRule="auto"/>
        <w:rPr>
          <w:sz w:val="20"/>
          <w:szCs w:val="20"/>
          <w:color w:val="auto"/>
        </w:rPr>
      </w:pPr>
      <w:r>
        <w:rPr>
          <w:rFonts w:ascii="Times New Roman" w:cs="Times New Roman" w:eastAsia="Times New Roman" w:hAnsi="Times New Roman"/>
          <w:sz w:val="18"/>
          <w:szCs w:val="18"/>
          <w:color w:val="auto"/>
        </w:rPr>
        <w:t>1.3 For purposes of this agreement, a “Permitted Change of Control” is a Change of Control transaction which has been approved by the Board of Directors of the Company before the occurrence of the events giving rise to the Change of Control.</w:t>
      </w:r>
    </w:p>
    <w:p>
      <w:pPr>
        <w:sectPr>
          <w:pgSz w:w="11900" w:h="16838" w:orient="portrait"/>
          <w:cols w:equalWidth="0" w:num="1">
            <w:col w:w="11420"/>
          </w:cols>
          <w:pgMar w:left="240" w:top="125"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Mr. Michael J. Kasbar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29, 2003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45"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of Bonus Formula</w:t>
      </w:r>
      <w:r>
        <w:rPr>
          <w:rFonts w:ascii="Times New Roman" w:cs="Times New Roman" w:eastAsia="Times New Roman" w:hAnsi="Times New Roman"/>
          <w:sz w:val="18"/>
          <w:szCs w:val="18"/>
          <w:color w:val="auto"/>
        </w:rPr>
        <w:t>. Section 2.2(b)(i) of the Employment Agreement is hereby deleted in its entirety.</w:t>
      </w:r>
    </w:p>
    <w:p>
      <w:pPr>
        <w:spacing w:after="0" w:line="158" w:lineRule="exact"/>
        <w:rPr>
          <w:sz w:val="20"/>
          <w:szCs w:val="20"/>
          <w:color w:val="auto"/>
        </w:rPr>
      </w:pPr>
    </w:p>
    <w:p>
      <w:pPr>
        <w:ind w:firstLine="456"/>
        <w:spacing w:after="0" w:line="256" w:lineRule="auto"/>
        <w:rPr>
          <w:sz w:val="20"/>
          <w:szCs w:val="20"/>
          <w:color w:val="auto"/>
        </w:rPr>
      </w:pPr>
      <w:r>
        <w:rPr>
          <w:rFonts w:ascii="Times New Roman" w:cs="Times New Roman" w:eastAsia="Times New Roman" w:hAnsi="Times New Roman"/>
          <w:sz w:val="18"/>
          <w:szCs w:val="18"/>
          <w:color w:val="auto"/>
        </w:rPr>
        <w:t>This letter may be executed in any number of counterparts, each of which shall be deemed an original, and all of which shall constitute one and the same instrument. This letter shall be accepted, effective and binding, for all purposes, when the parties shall have signed and transmitted to each other, by telecopier or otherwise, copies of this letter. Except as expressly amended hereby, the Employment Agreement shall remain in full force and effect and is hereby ratified by the parties. If the foregoing correctly sets forth the terms of the amendment, please sign this letter on the line provided below, whereupon it will constitute a binding agreement between you and the Company.</w:t>
      </w:r>
    </w:p>
    <w:p>
      <w:pPr>
        <w:spacing w:after="0" w:line="1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Sincerely,</w:t>
      </w:r>
    </w:p>
    <w:p>
      <w:pPr>
        <w:spacing w:after="0" w:line="3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WORLD FUEL SERVICES CORPORATION</w:t>
      </w:r>
    </w:p>
    <w:p>
      <w:pPr>
        <w:spacing w:after="0" w:line="376" w:lineRule="exact"/>
        <w:rPr>
          <w:sz w:val="20"/>
          <w:szCs w:val="20"/>
          <w:color w:val="auto"/>
        </w:rPr>
      </w:pPr>
    </w:p>
    <w:p>
      <w:pPr>
        <w:ind w:left="6860"/>
        <w:spacing w:after="0"/>
        <w:tabs>
          <w:tab w:leader="none" w:pos="7300" w:val="left"/>
        </w:tabs>
        <w:rPr>
          <w:sz w:val="20"/>
          <w:szCs w:val="20"/>
          <w:color w:val="auto"/>
        </w:rPr>
      </w:pPr>
      <w:r>
        <w:rPr>
          <w:rFonts w:ascii="Times New Roman" w:cs="Times New Roman" w:eastAsia="Times New Roman" w:hAnsi="Times New Roman"/>
          <w:sz w:val="18"/>
          <w:szCs w:val="18"/>
          <w:color w:val="auto"/>
        </w:rPr>
        <w:t>By:</w:t>
        <w:tab/>
        <w:t>/s/ John R. Benbow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83820</wp:posOffset>
            </wp:positionV>
            <wp:extent cx="265874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John R. Benbow, Chairman, Compensation</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Committee of the Board of Directors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28987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J. Kasbar</w:t>
      </w:r>
    </w:p>
    <w:p>
      <w:pPr>
        <w:sectPr>
          <w:pgSz w:w="11900" w:h="16838" w:orient="portrait"/>
          <w:cols w:equalWidth="0" w:num="1">
            <w:col w:w="11380"/>
          </w:cols>
          <w:pgMar w:left="240" w:top="274" w:right="27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15d – 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H. Stebbins, certify that:</w:t>
      </w:r>
    </w:p>
    <w:p>
      <w:pPr>
        <w:spacing w:after="0" w:line="77" w:lineRule="exact"/>
        <w:rPr>
          <w:sz w:val="20"/>
          <w:szCs w:val="20"/>
          <w:color w:val="auto"/>
        </w:rPr>
      </w:pPr>
    </w:p>
    <w:p>
      <w:pPr>
        <w:ind w:left="900" w:hanging="446"/>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quarterly period ended September 30, 2003 of World Fuel Services Corporation;</w:t>
      </w:r>
    </w:p>
    <w:p>
      <w:pPr>
        <w:spacing w:after="0" w:line="76"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1920" w:right="140" w:hanging="440"/>
        <w:spacing w:after="0" w:line="262" w:lineRule="auto"/>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920" w:right="200" w:hanging="440"/>
        <w:spacing w:after="0" w:line="262" w:lineRule="auto"/>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jc w:val="both"/>
        <w:ind w:left="1920" w:hanging="440"/>
        <w:spacing w:after="0" w:line="325" w:lineRule="auto"/>
        <w:tabs>
          <w:tab w:leader="none" w:pos="19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920" w:hanging="440"/>
        <w:spacing w:after="0" w:line="262" w:lineRule="auto"/>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920" w:right="240" w:hanging="440"/>
        <w:spacing w:after="0" w:line="325" w:lineRule="auto"/>
        <w:tabs>
          <w:tab w:leader="none" w:pos="1920" w:val="left"/>
        </w:tabs>
        <w:numPr>
          <w:ilvl w:val="1"/>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20" w:right="520" w:hanging="440"/>
        <w:spacing w:after="0" w:line="275" w:lineRule="auto"/>
        <w:tabs>
          <w:tab w:leader="none" w:pos="19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2003</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Paul H. Stebbins</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ectPr>
          <w:pgSz w:w="11900" w:h="16838" w:orient="portrait"/>
          <w:cols w:equalWidth="0" w:num="1">
            <w:col w:w="11420"/>
          </w:cols>
          <w:pgMar w:left="240" w:top="125" w:right="2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Operating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15d – 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Kasbar, certify that:</w:t>
      </w:r>
    </w:p>
    <w:p>
      <w:pPr>
        <w:spacing w:after="0" w:line="77" w:lineRule="exact"/>
        <w:rPr>
          <w:sz w:val="20"/>
          <w:szCs w:val="20"/>
          <w:color w:val="auto"/>
        </w:rPr>
      </w:pPr>
    </w:p>
    <w:p>
      <w:pPr>
        <w:ind w:left="900" w:hanging="446"/>
        <w:spacing w:after="0"/>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quarterly period ended September 30, 2003 of World Fuel Services Corporation;</w:t>
      </w:r>
    </w:p>
    <w:p>
      <w:pPr>
        <w:spacing w:after="0" w:line="76"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1920" w:right="140" w:hanging="440"/>
        <w:spacing w:after="0" w:line="262" w:lineRule="auto"/>
        <w:tabs>
          <w:tab w:leader="none" w:pos="1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920" w:right="200" w:hanging="440"/>
        <w:spacing w:after="0" w:line="262" w:lineRule="auto"/>
        <w:tabs>
          <w:tab w:leader="none" w:pos="1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jc w:val="both"/>
        <w:ind w:left="1920" w:hanging="440"/>
        <w:spacing w:after="0" w:line="325" w:lineRule="auto"/>
        <w:tabs>
          <w:tab w:leader="none" w:pos="19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920" w:hanging="440"/>
        <w:spacing w:after="0" w:line="262" w:lineRule="auto"/>
        <w:tabs>
          <w:tab w:leader="none" w:pos="1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920" w:right="240" w:hanging="440"/>
        <w:spacing w:after="0" w:line="325" w:lineRule="auto"/>
        <w:tabs>
          <w:tab w:leader="none" w:pos="1920" w:val="left"/>
        </w:tabs>
        <w:numPr>
          <w:ilvl w:val="1"/>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20" w:right="520" w:hanging="440"/>
        <w:spacing w:after="0" w:line="275" w:lineRule="auto"/>
        <w:tabs>
          <w:tab w:leader="none" w:pos="19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2003</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ectPr>
          <w:pgSz w:w="11900" w:h="16838" w:orient="portrait"/>
          <w:cols w:equalWidth="0" w:num="1">
            <w:col w:w="11420"/>
          </w:cols>
          <w:pgMar w:left="240" w:top="125" w:right="2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color w:val="auto"/>
        </w:rPr>
        <w:t>Exhibit 31.3</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15d – 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Francis X. Shea, certify that:</w:t>
      </w:r>
    </w:p>
    <w:p>
      <w:pPr>
        <w:spacing w:after="0" w:line="77" w:lineRule="exact"/>
        <w:rPr>
          <w:sz w:val="20"/>
          <w:szCs w:val="20"/>
          <w:color w:val="auto"/>
        </w:rPr>
      </w:pPr>
    </w:p>
    <w:p>
      <w:pPr>
        <w:ind w:left="900" w:hanging="446"/>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quarterly period ended September 30, 2003 of World Fuel Services Corporation;</w:t>
      </w:r>
    </w:p>
    <w:p>
      <w:pPr>
        <w:spacing w:after="0" w:line="76" w:lineRule="exact"/>
        <w:rPr>
          <w:rFonts w:ascii="Times New Roman" w:cs="Times New Roman" w:eastAsia="Times New Roman" w:hAnsi="Times New Roman"/>
          <w:sz w:val="18"/>
          <w:szCs w:val="18"/>
          <w:color w:val="auto"/>
        </w:rPr>
      </w:pPr>
    </w:p>
    <w:p>
      <w:pPr>
        <w:jc w:val="both"/>
        <w:ind w:left="900" w:right="300" w:hanging="446"/>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7" w:lineRule="exact"/>
        <w:rPr>
          <w:rFonts w:ascii="Times New Roman" w:cs="Times New Roman" w:eastAsia="Times New Roman" w:hAnsi="Times New Roman"/>
          <w:sz w:val="18"/>
          <w:szCs w:val="18"/>
          <w:color w:val="auto"/>
        </w:rPr>
      </w:pPr>
    </w:p>
    <w:p>
      <w:pPr>
        <w:ind w:left="900" w:right="28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5" w:lineRule="exact"/>
        <w:rPr>
          <w:rFonts w:ascii="Times New Roman" w:cs="Times New Roman" w:eastAsia="Times New Roman" w:hAnsi="Times New Roman"/>
          <w:sz w:val="18"/>
          <w:szCs w:val="18"/>
          <w:color w:val="auto"/>
        </w:rPr>
      </w:pPr>
    </w:p>
    <w:p>
      <w:pPr>
        <w:ind w:left="900" w:right="300" w:hanging="446"/>
        <w:spacing w:after="0" w:line="26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7" w:lineRule="exact"/>
        <w:rPr>
          <w:rFonts w:ascii="Times New Roman" w:cs="Times New Roman" w:eastAsia="Times New Roman" w:hAnsi="Times New Roman"/>
          <w:sz w:val="18"/>
          <w:szCs w:val="18"/>
          <w:color w:val="auto"/>
        </w:rPr>
      </w:pPr>
    </w:p>
    <w:p>
      <w:pPr>
        <w:ind w:left="1920" w:right="140" w:hanging="440"/>
        <w:spacing w:after="0" w:line="262"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7" w:lineRule="exact"/>
        <w:rPr>
          <w:rFonts w:ascii="Times New Roman" w:cs="Times New Roman" w:eastAsia="Times New Roman" w:hAnsi="Times New Roman"/>
          <w:sz w:val="18"/>
          <w:szCs w:val="18"/>
          <w:color w:val="auto"/>
        </w:rPr>
      </w:pPr>
    </w:p>
    <w:p>
      <w:pPr>
        <w:ind w:left="1920" w:right="200" w:hanging="440"/>
        <w:spacing w:after="0" w:line="262"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7" w:lineRule="exact"/>
        <w:rPr>
          <w:rFonts w:ascii="Times New Roman" w:cs="Times New Roman" w:eastAsia="Times New Roman" w:hAnsi="Times New Roman"/>
          <w:sz w:val="18"/>
          <w:szCs w:val="18"/>
          <w:color w:val="auto"/>
        </w:rPr>
      </w:pPr>
    </w:p>
    <w:p>
      <w:pPr>
        <w:jc w:val="both"/>
        <w:ind w:left="1920" w:hanging="440"/>
        <w:spacing w:after="0" w:line="325" w:lineRule="auto"/>
        <w:tabs>
          <w:tab w:leader="none" w:pos="19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ind w:left="1920" w:hanging="440"/>
        <w:spacing w:after="0" w:line="262"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7" w:lineRule="exact"/>
        <w:rPr>
          <w:rFonts w:ascii="Times New Roman" w:cs="Times New Roman" w:eastAsia="Times New Roman" w:hAnsi="Times New Roman"/>
          <w:sz w:val="18"/>
          <w:szCs w:val="18"/>
          <w:color w:val="auto"/>
        </w:rPr>
      </w:pPr>
    </w:p>
    <w:p>
      <w:pPr>
        <w:ind w:left="900" w:right="120" w:hanging="446"/>
        <w:spacing w:after="0" w:line="275"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 w:lineRule="exact"/>
        <w:rPr>
          <w:rFonts w:ascii="Times New Roman" w:cs="Times New Roman" w:eastAsia="Times New Roman" w:hAnsi="Times New Roman"/>
          <w:sz w:val="18"/>
          <w:szCs w:val="18"/>
          <w:color w:val="auto"/>
        </w:rPr>
      </w:pPr>
    </w:p>
    <w:p>
      <w:pPr>
        <w:ind w:left="1920" w:right="240" w:hanging="440"/>
        <w:spacing w:after="0" w:line="325" w:lineRule="auto"/>
        <w:tabs>
          <w:tab w:leader="none" w:pos="1920" w:val="left"/>
        </w:tabs>
        <w:numPr>
          <w:ilvl w:val="1"/>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6"/>
          <w:szCs w:val="16"/>
          <w:color w:val="auto"/>
        </w:rPr>
      </w:pPr>
    </w:p>
    <w:p>
      <w:pPr>
        <w:ind w:left="1920" w:right="520" w:hanging="440"/>
        <w:spacing w:after="0" w:line="275" w:lineRule="auto"/>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2003</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Francis X. Shea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5" w:right="2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 1350</w:t>
      </w:r>
    </w:p>
    <w:p>
      <w:pPr>
        <w:spacing w:after="0" w:line="145" w:lineRule="exact"/>
        <w:rPr>
          <w:sz w:val="20"/>
          <w:szCs w:val="20"/>
          <w:color w:val="auto"/>
        </w:rPr>
      </w:pPr>
    </w:p>
    <w:p>
      <w:pPr>
        <w:ind w:right="10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 Paul H. Stebbins, Chief Executive Officer of World Fuel Services Corporation (the “Company”), hereby certify that the Company’s Quarterly Report on Form 10-Q for the quarterly period ended September 30, 2003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2003</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Paul H. Stebbins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Paul H. Stebbins</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145"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World Fuel Services Corporation and will be retained by World Fuel Services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Operating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 1350</w:t>
      </w:r>
    </w:p>
    <w:p>
      <w:pPr>
        <w:spacing w:after="0" w:line="145" w:lineRule="exact"/>
        <w:rPr>
          <w:sz w:val="20"/>
          <w:szCs w:val="20"/>
          <w:color w:val="auto"/>
        </w:rPr>
      </w:pPr>
    </w:p>
    <w:p>
      <w:pPr>
        <w:ind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 Michael J. Kasbar, Chief Operating Officer of World Fuel Services Corporation (the “Company”), hereby certify that the Company’s Quarterly Report on Form 10-Q for the quarterly period ended September 30, 2003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2003</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Michael J. Kasbar</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President and Chief Operating Officer</w:t>
      </w:r>
    </w:p>
    <w:p>
      <w:pPr>
        <w:spacing w:after="0" w:line="145"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World Fuel Services Corporation and will be retained by World Fuel Services Corporation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32.3</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 1350</w:t>
      </w:r>
    </w:p>
    <w:p>
      <w:pPr>
        <w:spacing w:after="0" w:line="145" w:lineRule="exact"/>
        <w:rPr>
          <w:sz w:val="20"/>
          <w:szCs w:val="20"/>
          <w:color w:val="auto"/>
        </w:rPr>
      </w:pPr>
    </w:p>
    <w:p>
      <w:pPr>
        <w:ind w:right="200" w:firstLine="456"/>
        <w:spacing w:after="0" w:line="258" w:lineRule="auto"/>
        <w:rPr>
          <w:sz w:val="20"/>
          <w:szCs w:val="20"/>
          <w:color w:val="auto"/>
        </w:rPr>
      </w:pPr>
      <w:r>
        <w:rPr>
          <w:rFonts w:ascii="Times New Roman" w:cs="Times New Roman" w:eastAsia="Times New Roman" w:hAnsi="Times New Roman"/>
          <w:sz w:val="18"/>
          <w:szCs w:val="18"/>
          <w:color w:val="auto"/>
        </w:rPr>
        <w:t>Pursuant to 18 U.S.C. § 1350, as adopted pursuant to § 906 of the Sarbanes-Oxley Act of 2002, I, Francis X. Shea, Chief Financial Officer of World Fuel Services Corporation (the “Company”), hereby certify that the Company’s Quarterly Report on Form 10-Q for the quarterly period ended September 30, 2003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5, 2003</w:t>
      </w: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Francis X. 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83820</wp:posOffset>
            </wp:positionV>
            <wp:extent cx="289877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Francis X. Shea</w:t>
      </w:r>
    </w:p>
    <w:p>
      <w:pPr>
        <w:spacing w:after="0" w:line="2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45" w:lineRule="exact"/>
        <w:rPr>
          <w:sz w:val="20"/>
          <w:szCs w:val="20"/>
          <w:color w:val="auto"/>
        </w:rPr>
      </w:pPr>
    </w:p>
    <w:p>
      <w:pPr>
        <w:ind w:left="460" w:right="260"/>
        <w:spacing w:after="0" w:line="275"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World Fuel Services Corporation and will be retained by World Fuel Services Corporation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2019-12-13T16:36:32Z</dcterms:created>
  <dcterms:modified xsi:type="dcterms:W3CDTF">2019-12-13T16:36:32Z</dcterms:modified>
</cp:coreProperties>
</file>