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CROSBY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60"/>
              <w:spacing w:after="0"/>
              <w:rPr>
                <w:sz w:val="20"/>
                <w:szCs w:val="20"/>
                <w:color w:val="auto"/>
              </w:rPr>
            </w:pPr>
            <w:r>
              <w:rPr>
                <w:rFonts w:ascii="Arial" w:cs="Arial" w:eastAsia="Arial" w:hAnsi="Arial"/>
                <w:sz w:val="18"/>
                <w:szCs w:val="18"/>
                <w:color w:val="0000FF"/>
              </w:rPr>
              <w:t>EVP, Global Land</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03/31/2019</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03/31/2019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8"/>
              </w:rPr>
              <w:t>4,510</w:t>
            </w:r>
            <w:r>
              <w:rPr>
                <w:rFonts w:ascii="Arial" w:cs="Arial" w:eastAsia="Arial" w:hAnsi="Arial"/>
                <w:sz w:val="22"/>
                <w:szCs w:val="22"/>
                <w:color w:val="008000"/>
                <w:w w:val="88"/>
                <w:vertAlign w:val="superscript"/>
              </w:rPr>
              <w:t>(1)</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28.89</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54,623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 aggregate of 11,459 restricted stock units held by the reporting person vested on March 31, 2019.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of the issuer's common stock on the NYSE on March 29,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04/02/2019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87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2019-12-24T04:23:31Z</dcterms:created>
  <dcterms:modified xsi:type="dcterms:W3CDTF">2019-12-24T04:23:31Z</dcterms:modified>
</cp:coreProperties>
</file>