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6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6" w:lineRule="exact"/>
        <w:rPr>
          <w:sz w:val="24"/>
          <w:szCs w:val="24"/>
          <w:color w:val="auto"/>
        </w:rPr>
      </w:pPr>
    </w:p>
    <w:p>
      <w:pPr>
        <w:ind w:left="580" w:hanging="26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w:t>
      </w:r>
    </w:p>
    <w:p>
      <w:pPr>
        <w:spacing w:after="0" w:line="212" w:lineRule="exact"/>
        <w:rPr>
          <w:sz w:val="24"/>
          <w:szCs w:val="24"/>
          <w:color w:val="auto"/>
        </w:rPr>
      </w:pPr>
    </w:p>
    <w:p>
      <w:pPr>
        <w:ind w:left="4280"/>
        <w:spacing w:after="0"/>
        <w:rPr>
          <w:sz w:val="20"/>
          <w:szCs w:val="20"/>
          <w:color w:val="auto"/>
        </w:rPr>
      </w:pPr>
      <w:r>
        <w:rPr>
          <w:rFonts w:ascii="Arial" w:cs="Arial" w:eastAsia="Arial" w:hAnsi="Arial"/>
          <w:sz w:val="16"/>
          <w:szCs w:val="16"/>
          <w:color w:val="auto"/>
        </w:rPr>
        <w:t>For the quarterly period ended March 31, 2023</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43" w:lineRule="exact"/>
        <w:rPr>
          <w:sz w:val="24"/>
          <w:szCs w:val="24"/>
          <w:color w:val="auto"/>
        </w:rPr>
      </w:pPr>
    </w:p>
    <w:p>
      <w:pPr>
        <w:ind w:left="580" w:hanging="315"/>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14"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For the transition period from __________ to ___________</w:t>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001-09533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2910205</wp:posOffset>
            </wp:positionH>
            <wp:positionV relativeFrom="paragraph">
              <wp:posOffset>86360</wp:posOffset>
            </wp:positionV>
            <wp:extent cx="1321435" cy="550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1435" cy="550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WORLD FUEL SERVICES CORPORATION</w:t>
      </w:r>
    </w:p>
    <w:p>
      <w:pPr>
        <w:spacing w:after="0" w:line="132"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(Exact name of registrant as specified in its charter)</w:t>
      </w:r>
    </w:p>
    <w:p>
      <w:pPr>
        <w:spacing w:after="0" w:line="136" w:lineRule="exact"/>
        <w:rPr>
          <w:sz w:val="24"/>
          <w:szCs w:val="24"/>
          <w:color w:val="auto"/>
        </w:rPr>
      </w:pPr>
    </w:p>
    <w:tbl>
      <w:tblPr>
        <w:tblLayout w:type="fixed"/>
        <w:tblInd w:w="340" w:type="dxa"/>
        <w:tblCellMar>
          <w:top w:w="0" w:type="dxa"/>
          <w:left w:w="0" w:type="dxa"/>
          <w:bottom w:w="0" w:type="dxa"/>
          <w:right w:w="0" w:type="dxa"/>
        </w:tblCellMar>
      </w:tblPr>
      <w:tr>
        <w:trPr>
          <w:trHeight w:val="213"/>
        </w:trPr>
        <w:tc>
          <w:tcPr>
            <w:tcW w:w="640" w:type="dxa"/>
            <w:vAlign w:val="bottom"/>
          </w:tcPr>
          <w:p>
            <w:pPr>
              <w:spacing w:after="0"/>
              <w:rPr>
                <w:sz w:val="18"/>
                <w:szCs w:val="18"/>
                <w:color w:val="auto"/>
              </w:rPr>
            </w:pPr>
          </w:p>
        </w:tc>
        <w:tc>
          <w:tcPr>
            <w:tcW w:w="2200" w:type="dxa"/>
            <w:vAlign w:val="bottom"/>
            <w:gridSpan w:val="2"/>
          </w:tcPr>
          <w:p>
            <w:pPr>
              <w:jc w:val="center"/>
              <w:ind w:right="1080"/>
              <w:spacing w:after="0"/>
              <w:rPr>
                <w:sz w:val="20"/>
                <w:szCs w:val="20"/>
                <w:color w:val="auto"/>
              </w:rPr>
            </w:pPr>
            <w:r>
              <w:rPr>
                <w:rFonts w:ascii="Arial" w:cs="Arial" w:eastAsia="Arial" w:hAnsi="Arial"/>
                <w:sz w:val="16"/>
                <w:szCs w:val="16"/>
                <w:b w:val="1"/>
                <w:bCs w:val="1"/>
                <w:color w:val="auto"/>
                <w:w w:val="97"/>
              </w:rPr>
              <w:t>Florida</w:t>
            </w:r>
          </w:p>
        </w:tc>
        <w:tc>
          <w:tcPr>
            <w:tcW w:w="2220" w:type="dxa"/>
            <w:vAlign w:val="bottom"/>
            <w:gridSpan w:val="2"/>
          </w:tcPr>
          <w:p>
            <w:pPr>
              <w:jc w:val="right"/>
              <w:spacing w:after="0"/>
              <w:rPr>
                <w:sz w:val="20"/>
                <w:szCs w:val="20"/>
                <w:color w:val="auto"/>
              </w:rPr>
            </w:pPr>
            <w:r>
              <w:rPr>
                <w:rFonts w:ascii="Arial" w:cs="Arial" w:eastAsia="Arial" w:hAnsi="Arial"/>
                <w:sz w:val="16"/>
                <w:szCs w:val="16"/>
                <w:b w:val="1"/>
                <w:bCs w:val="1"/>
                <w:color w:val="auto"/>
              </w:rPr>
              <w:t>9800 N.W. 41st Street,</w:t>
            </w:r>
          </w:p>
        </w:tc>
        <w:tc>
          <w:tcPr>
            <w:tcW w:w="2080" w:type="dxa"/>
            <w:vAlign w:val="bottom"/>
            <w:gridSpan w:val="2"/>
          </w:tcPr>
          <w:p>
            <w:pPr>
              <w:ind w:left="200"/>
              <w:spacing w:after="0"/>
              <w:rPr>
                <w:sz w:val="20"/>
                <w:szCs w:val="20"/>
                <w:color w:val="auto"/>
              </w:rPr>
            </w:pPr>
            <w:r>
              <w:rPr>
                <w:rFonts w:ascii="Arial" w:cs="Arial" w:eastAsia="Arial" w:hAnsi="Arial"/>
                <w:sz w:val="16"/>
                <w:szCs w:val="16"/>
                <w:b w:val="1"/>
                <w:bCs w:val="1"/>
                <w:color w:val="auto"/>
              </w:rPr>
              <w:t>Miami,   Florida</w:t>
            </w:r>
          </w:p>
        </w:tc>
        <w:tc>
          <w:tcPr>
            <w:tcW w:w="640" w:type="dxa"/>
            <w:vAlign w:val="bottom"/>
          </w:tcPr>
          <w:p>
            <w:pPr>
              <w:jc w:val="right"/>
              <w:ind w:right="100"/>
              <w:spacing w:after="0"/>
              <w:rPr>
                <w:sz w:val="20"/>
                <w:szCs w:val="20"/>
                <w:color w:val="auto"/>
              </w:rPr>
            </w:pPr>
            <w:r>
              <w:rPr>
                <w:rFonts w:ascii="Arial" w:cs="Arial" w:eastAsia="Arial" w:hAnsi="Arial"/>
                <w:sz w:val="16"/>
                <w:szCs w:val="16"/>
                <w:b w:val="1"/>
                <w:bCs w:val="1"/>
                <w:color w:val="auto"/>
                <w:w w:val="98"/>
              </w:rPr>
              <w:t>33178</w:t>
            </w:r>
          </w:p>
        </w:tc>
        <w:tc>
          <w:tcPr>
            <w:tcW w:w="2980" w:type="dxa"/>
            <w:vAlign w:val="bottom"/>
            <w:gridSpan w:val="2"/>
          </w:tcPr>
          <w:p>
            <w:pPr>
              <w:jc w:val="center"/>
              <w:ind w:left="84"/>
              <w:spacing w:after="0"/>
              <w:rPr>
                <w:sz w:val="20"/>
                <w:szCs w:val="20"/>
                <w:color w:val="auto"/>
              </w:rPr>
            </w:pPr>
            <w:r>
              <w:rPr>
                <w:rFonts w:ascii="Arial" w:cs="Arial" w:eastAsia="Arial" w:hAnsi="Arial"/>
                <w:sz w:val="16"/>
                <w:szCs w:val="16"/>
                <w:b w:val="1"/>
                <w:bCs w:val="1"/>
                <w:color w:val="auto"/>
              </w:rPr>
              <w:t>59-2459427</w:t>
            </w:r>
          </w:p>
        </w:tc>
      </w:tr>
      <w:tr>
        <w:trPr>
          <w:trHeight w:val="170"/>
        </w:trPr>
        <w:tc>
          <w:tcPr>
            <w:tcW w:w="2840" w:type="dxa"/>
            <w:vAlign w:val="bottom"/>
            <w:gridSpan w:val="3"/>
          </w:tcPr>
          <w:p>
            <w:pPr>
              <w:jc w:val="center"/>
              <w:ind w:right="420"/>
              <w:spacing w:after="0"/>
              <w:rPr>
                <w:sz w:val="20"/>
                <w:szCs w:val="20"/>
                <w:color w:val="auto"/>
              </w:rPr>
            </w:pPr>
            <w:r>
              <w:rPr>
                <w:rFonts w:ascii="Arial" w:cs="Arial" w:eastAsia="Arial" w:hAnsi="Arial"/>
                <w:sz w:val="14"/>
                <w:szCs w:val="14"/>
                <w:color w:val="auto"/>
              </w:rPr>
              <w:t>(State or other jurisdiction of</w:t>
            </w:r>
          </w:p>
        </w:tc>
        <w:tc>
          <w:tcPr>
            <w:tcW w:w="4300" w:type="dxa"/>
            <w:vAlign w:val="bottom"/>
            <w:gridSpan w:val="4"/>
          </w:tcPr>
          <w:p>
            <w:pPr>
              <w:jc w:val="center"/>
              <w:ind w:left="482"/>
              <w:spacing w:after="0"/>
              <w:rPr>
                <w:sz w:val="20"/>
                <w:szCs w:val="20"/>
                <w:color w:val="auto"/>
              </w:rPr>
            </w:pPr>
            <w:r>
              <w:rPr>
                <w:rFonts w:ascii="Arial" w:cs="Arial" w:eastAsia="Arial" w:hAnsi="Arial"/>
                <w:sz w:val="14"/>
                <w:szCs w:val="14"/>
                <w:color w:val="auto"/>
              </w:rPr>
              <w:t>(Address of Principal Executive Offices) (Zip Code)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rPr>
              <w:t>(I.R.S. Employer</w:t>
            </w:r>
          </w:p>
        </w:tc>
      </w:tr>
      <w:tr>
        <w:trPr>
          <w:trHeight w:val="171"/>
        </w:trPr>
        <w:tc>
          <w:tcPr>
            <w:tcW w:w="2840" w:type="dxa"/>
            <w:vAlign w:val="bottom"/>
            <w:gridSpan w:val="3"/>
          </w:tcPr>
          <w:p>
            <w:pPr>
              <w:jc w:val="center"/>
              <w:ind w:right="440"/>
              <w:spacing w:after="0"/>
              <w:rPr>
                <w:sz w:val="20"/>
                <w:szCs w:val="20"/>
                <w:color w:val="auto"/>
              </w:rPr>
            </w:pPr>
            <w:r>
              <w:rPr>
                <w:rFonts w:ascii="Arial" w:cs="Arial" w:eastAsia="Arial" w:hAnsi="Arial"/>
                <w:sz w:val="14"/>
                <w:szCs w:val="14"/>
                <w:color w:val="auto"/>
              </w:rPr>
              <w:t>incorporation or organization)</w:t>
            </w:r>
          </w:p>
        </w:tc>
        <w:tc>
          <w:tcPr>
            <w:tcW w:w="1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rPr>
              <w:t>Identification No.)</w:t>
            </w:r>
          </w:p>
        </w:tc>
      </w:tr>
      <w:tr>
        <w:trPr>
          <w:trHeight w:val="219"/>
        </w:trPr>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300" w:type="dxa"/>
            <w:vAlign w:val="bottom"/>
            <w:gridSpan w:val="4"/>
          </w:tcPr>
          <w:p>
            <w:pPr>
              <w:jc w:val="center"/>
              <w:ind w:left="482"/>
              <w:spacing w:after="0"/>
              <w:rPr>
                <w:sz w:val="20"/>
                <w:szCs w:val="20"/>
                <w:color w:val="auto"/>
              </w:rPr>
            </w:pPr>
            <w:r>
              <w:rPr>
                <w:rFonts w:ascii="Arial" w:cs="Arial" w:eastAsia="Arial" w:hAnsi="Arial"/>
                <w:sz w:val="16"/>
                <w:szCs w:val="16"/>
                <w:color w:val="auto"/>
              </w:rPr>
              <w:t>Registrant’s telephone number, including area code: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13"/>
        </w:trPr>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20" w:type="dxa"/>
            <w:vAlign w:val="bottom"/>
            <w:gridSpan w:val="2"/>
          </w:tcPr>
          <w:p>
            <w:pPr>
              <w:jc w:val="right"/>
              <w:ind w:right="149"/>
              <w:spacing w:after="0"/>
              <w:rPr>
                <w:sz w:val="20"/>
                <w:szCs w:val="20"/>
                <w:color w:val="auto"/>
              </w:rPr>
            </w:pPr>
            <w:r>
              <w:rPr>
                <w:rFonts w:ascii="Arial" w:cs="Arial" w:eastAsia="Arial" w:hAnsi="Arial"/>
                <w:sz w:val="16"/>
                <w:szCs w:val="16"/>
                <w:b w:val="1"/>
                <w:bCs w:val="1"/>
                <w:color w:val="auto"/>
              </w:rPr>
              <w:t>(  305  )</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428-8000</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320"/>
        </w:trPr>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40" w:type="dxa"/>
            <w:vAlign w:val="bottom"/>
            <w:gridSpan w:val="5"/>
          </w:tcPr>
          <w:p>
            <w:pPr>
              <w:jc w:val="center"/>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65"/>
        </w:trPr>
        <w:tc>
          <w:tcPr>
            <w:tcW w:w="640" w:type="dxa"/>
            <w:vAlign w:val="bottom"/>
          </w:tcPr>
          <w:p>
            <w:pPr>
              <w:spacing w:after="0"/>
              <w:rPr>
                <w:sz w:val="14"/>
                <w:szCs w:val="14"/>
                <w:color w:val="auto"/>
              </w:rPr>
            </w:pPr>
          </w:p>
        </w:tc>
        <w:tc>
          <w:tcPr>
            <w:tcW w:w="2200" w:type="dxa"/>
            <w:vAlign w:val="bottom"/>
            <w:gridSpan w:val="2"/>
          </w:tcPr>
          <w:p>
            <w:pPr>
              <w:jc w:val="center"/>
              <w:ind w:right="1080"/>
              <w:spacing w:after="0"/>
              <w:rPr>
                <w:sz w:val="20"/>
                <w:szCs w:val="20"/>
                <w:color w:val="auto"/>
              </w:rPr>
            </w:pPr>
            <w:r>
              <w:rPr>
                <w:rFonts w:ascii="Arial" w:cs="Arial" w:eastAsia="Arial" w:hAnsi="Arial"/>
                <w:sz w:val="14"/>
                <w:szCs w:val="14"/>
                <w:color w:val="auto"/>
                <w:w w:val="99"/>
              </w:rPr>
              <w:t>Title of each class</w:t>
            </w:r>
          </w:p>
        </w:tc>
        <w:tc>
          <w:tcPr>
            <w:tcW w:w="1840" w:type="dxa"/>
            <w:vAlign w:val="bottom"/>
          </w:tcPr>
          <w:p>
            <w:pPr>
              <w:spacing w:after="0"/>
              <w:rPr>
                <w:sz w:val="14"/>
                <w:szCs w:val="14"/>
                <w:color w:val="auto"/>
              </w:rPr>
            </w:pPr>
          </w:p>
        </w:tc>
        <w:tc>
          <w:tcPr>
            <w:tcW w:w="2460" w:type="dxa"/>
            <w:vAlign w:val="bottom"/>
            <w:gridSpan w:val="3"/>
          </w:tcPr>
          <w:p>
            <w:pPr>
              <w:jc w:val="center"/>
              <w:ind w:right="1280"/>
              <w:spacing w:after="0"/>
              <w:rPr>
                <w:sz w:val="20"/>
                <w:szCs w:val="20"/>
                <w:color w:val="auto"/>
              </w:rPr>
            </w:pPr>
            <w:r>
              <w:rPr>
                <w:rFonts w:ascii="Arial" w:cs="Arial" w:eastAsia="Arial" w:hAnsi="Arial"/>
                <w:sz w:val="14"/>
                <w:szCs w:val="14"/>
                <w:color w:val="auto"/>
                <w:w w:val="99"/>
              </w:rPr>
              <w:t>Trading Symbol (s)</w:t>
            </w:r>
          </w:p>
        </w:tc>
        <w:tc>
          <w:tcPr>
            <w:tcW w:w="640" w:type="dxa"/>
            <w:vAlign w:val="bottom"/>
          </w:tcPr>
          <w:p>
            <w:pPr>
              <w:spacing w:after="0"/>
              <w:rPr>
                <w:sz w:val="14"/>
                <w:szCs w:val="14"/>
                <w:color w:val="auto"/>
              </w:rPr>
            </w:pPr>
          </w:p>
        </w:tc>
        <w:tc>
          <w:tcPr>
            <w:tcW w:w="2980" w:type="dxa"/>
            <w:vAlign w:val="bottom"/>
            <w:gridSpan w:val="2"/>
          </w:tcPr>
          <w:p>
            <w:pPr>
              <w:jc w:val="center"/>
              <w:ind w:left="84"/>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28"/>
        </w:trPr>
        <w:tc>
          <w:tcPr>
            <w:tcW w:w="28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9"/>
              </w:rPr>
              <w:t>Common Stock, $0.01 par value</w:t>
            </w:r>
          </w:p>
        </w:tc>
        <w:tc>
          <w:tcPr>
            <w:tcW w:w="1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80" w:type="dxa"/>
            <w:vAlign w:val="bottom"/>
            <w:gridSpan w:val="2"/>
          </w:tcPr>
          <w:p>
            <w:pPr>
              <w:jc w:val="center"/>
              <w:ind w:right="1660"/>
              <w:spacing w:after="0"/>
              <w:rPr>
                <w:sz w:val="20"/>
                <w:szCs w:val="20"/>
                <w:color w:val="auto"/>
              </w:rPr>
            </w:pPr>
            <w:r>
              <w:rPr>
                <w:rFonts w:ascii="Arial" w:cs="Arial" w:eastAsia="Arial" w:hAnsi="Arial"/>
                <w:sz w:val="16"/>
                <w:szCs w:val="16"/>
                <w:b w:val="1"/>
                <w:bCs w:val="1"/>
                <w:color w:val="auto"/>
              </w:rPr>
              <w:t>INT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9"/>
              </w:rPr>
              <w:t>New York Stock Exchange</w:t>
            </w:r>
          </w:p>
        </w:tc>
      </w:tr>
    </w:tbl>
    <w:p>
      <w:pPr>
        <w:spacing w:after="0" w:line="261" w:lineRule="exact"/>
        <w:rPr>
          <w:sz w:val="24"/>
          <w:szCs w:val="24"/>
          <w:color w:val="auto"/>
        </w:rPr>
      </w:pPr>
    </w:p>
    <w:p>
      <w:pPr>
        <w:jc w:val="both"/>
        <w:spacing w:after="0" w:line="19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0" w:lineRule="exact"/>
        <w:rPr>
          <w:sz w:val="24"/>
          <w:szCs w:val="24"/>
          <w:color w:val="auto"/>
        </w:rPr>
      </w:pPr>
    </w:p>
    <w:p>
      <w:pPr>
        <w:jc w:val="both"/>
        <w:spacing w:after="0" w:line="24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p>
    <w:p>
      <w:pPr>
        <w:spacing w:after="0" w:line="1" w:lineRule="exact"/>
        <w:rPr>
          <w:sz w:val="24"/>
          <w:szCs w:val="24"/>
          <w:color w:val="auto"/>
        </w:rPr>
      </w:pPr>
    </w:p>
    <w:p>
      <w:pPr>
        <w:ind w:left="280" w:hanging="273"/>
        <w:spacing w:after="0" w:line="184" w:lineRule="exact"/>
        <w:tabs>
          <w:tab w:leader="none" w:pos="2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0" w:lineRule="exact"/>
        <w:rPr>
          <w:sz w:val="24"/>
          <w:szCs w:val="24"/>
          <w:color w:val="auto"/>
        </w:rPr>
      </w:pPr>
    </w:p>
    <w:p>
      <w:pPr>
        <w:jc w:val="both"/>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p>
      <w:pPr>
        <w:ind w:left="60"/>
        <w:spacing w:after="0" w:line="184" w:lineRule="exact"/>
        <w:tabs>
          <w:tab w:leader="none" w:pos="3400" w:val="left"/>
          <w:tab w:leader="none" w:pos="52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rPr>
        <w:t>☐</w:t>
      </w:r>
    </w:p>
    <w:p>
      <w:pPr>
        <w:spacing w:after="0" w:line="205" w:lineRule="exact"/>
        <w:rPr>
          <w:sz w:val="24"/>
          <w:szCs w:val="24"/>
          <w:color w:val="auto"/>
        </w:rPr>
      </w:pPr>
    </w:p>
    <w:p>
      <w:pPr>
        <w:jc w:val="both"/>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4" w:lineRule="exact"/>
        <w:rPr>
          <w:sz w:val="24"/>
          <w:szCs w:val="24"/>
          <w:color w:val="auto"/>
        </w:rPr>
      </w:pPr>
    </w:p>
    <w:p>
      <w:pPr>
        <w:spacing w:after="0" w:line="184" w:lineRule="exact"/>
        <w:tabs>
          <w:tab w:leader="none" w:pos="86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a total of 62,129,131 shares of common stock, par value $0.01 per share, issued and outstanding as of April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640080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TABLE OF CONTENTS</w:t>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40" w:type="dxa"/>
            <w:vAlign w:val="bottom"/>
            <w:gridSpan w:val="2"/>
          </w:tcPr>
          <w:p>
            <w:pPr>
              <w:spacing w:after="0"/>
              <w:rPr>
                <w:sz w:val="20"/>
                <w:szCs w:val="20"/>
                <w:color w:val="auto"/>
              </w:rPr>
            </w:pPr>
            <w:r>
              <w:rPr>
                <w:rFonts w:ascii="Arial" w:cs="Arial" w:eastAsia="Arial" w:hAnsi="Arial"/>
                <w:sz w:val="18"/>
                <w:szCs w:val="18"/>
                <w:b w:val="1"/>
                <w:bCs w:val="1"/>
                <w:color w:val="0E32E1"/>
                <w:w w:val="96"/>
              </w:rPr>
              <w:t>PART I.</w:t>
            </w:r>
          </w:p>
        </w:tc>
        <w:tc>
          <w:tcPr>
            <w:tcW w:w="420" w:type="dxa"/>
            <w:vAlign w:val="bottom"/>
            <w:gridSpan w:val="2"/>
          </w:tcPr>
          <w:p>
            <w:pPr>
              <w:spacing w:after="0"/>
              <w:rPr>
                <w:sz w:val="17"/>
                <w:szCs w:val="17"/>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Financial Information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4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640" w:type="dxa"/>
            <w:vAlign w:val="bottom"/>
            <w:gridSpan w:val="2"/>
          </w:tcPr>
          <w:p>
            <w:pPr>
              <w:spacing w:after="0"/>
              <w:rPr>
                <w:sz w:val="20"/>
                <w:szCs w:val="20"/>
                <w:color w:val="auto"/>
              </w:rPr>
            </w:pPr>
            <w:r>
              <w:rPr>
                <w:rFonts w:ascii="Arial" w:cs="Arial" w:eastAsia="Arial" w:hAnsi="Arial"/>
                <w:sz w:val="18"/>
                <w:szCs w:val="18"/>
                <w:color w:val="0E32E1"/>
              </w:rPr>
              <w:t>Item 1.</w:t>
            </w:r>
          </w:p>
        </w:tc>
        <w:tc>
          <w:tcPr>
            <w:tcW w:w="420" w:type="dxa"/>
            <w:vAlign w:val="bottom"/>
            <w:gridSpan w:val="2"/>
          </w:tcPr>
          <w:p>
            <w:pPr>
              <w:spacing w:after="0"/>
              <w:rPr>
                <w:sz w:val="17"/>
                <w:szCs w:val="17"/>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Financial Statements (Unaudited)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4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Condensed Consolidated Balance Sheets as of March 31, 2023 and December 31, 2022</w:t>
            </w:r>
          </w:p>
        </w:tc>
        <w:tc>
          <w:tcPr>
            <w:tcW w:w="380" w:type="dxa"/>
            <w:vAlign w:val="bottom"/>
            <w:gridSpan w:val="3"/>
          </w:tcPr>
          <w:p>
            <w:pPr>
              <w:jc w:val="center"/>
              <w:ind w:left="71"/>
              <w:spacing w:after="0"/>
              <w:rPr>
                <w:sz w:val="20"/>
                <w:szCs w:val="20"/>
                <w:color w:val="auto"/>
              </w:rPr>
            </w:pPr>
            <w:r>
              <w:rPr>
                <w:rFonts w:ascii="Arial" w:cs="Arial" w:eastAsia="Arial" w:hAnsi="Arial"/>
                <w:sz w:val="18"/>
                <w:szCs w:val="18"/>
                <w:color w:val="0E32E1"/>
                <w:w w:val="99"/>
              </w:rPr>
              <w:t>1</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2020" w:type="dxa"/>
            <w:vAlign w:val="bottom"/>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16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Condensed Consolidated Statements of Income and Comprehensive Income for the Three Months Ended March 31,</w:t>
            </w:r>
          </w:p>
        </w:tc>
        <w:tc>
          <w:tcPr>
            <w:tcW w:w="380" w:type="dxa"/>
            <w:vAlign w:val="bottom"/>
            <w:gridSpan w:val="3"/>
          </w:tcPr>
          <w:p>
            <w:pPr>
              <w:jc w:val="center"/>
              <w:ind w:left="71"/>
              <w:spacing w:after="0"/>
              <w:rPr>
                <w:sz w:val="20"/>
                <w:szCs w:val="20"/>
                <w:color w:val="auto"/>
              </w:rPr>
            </w:pPr>
            <w:r>
              <w:rPr>
                <w:rFonts w:ascii="Arial" w:cs="Arial" w:eastAsia="Arial" w:hAnsi="Arial"/>
                <w:sz w:val="18"/>
                <w:szCs w:val="18"/>
                <w:color w:val="0E32E1"/>
                <w:w w:val="99"/>
              </w:rPr>
              <w:t>2</w:t>
            </w:r>
          </w:p>
        </w:tc>
      </w:tr>
      <w:tr>
        <w:trPr>
          <w:trHeight w:val="167"/>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80" w:type="dxa"/>
            <w:vAlign w:val="bottom"/>
            <w:tcBorders>
              <w:top w:val="single" w:sz="8" w:color="0E32E1"/>
            </w:tcBorders>
            <w:gridSpan w:val="14"/>
          </w:tcPr>
          <w:p>
            <w:pPr>
              <w:spacing w:after="0" w:line="167" w:lineRule="exact"/>
              <w:rPr>
                <w:sz w:val="20"/>
                <w:szCs w:val="20"/>
                <w:color w:val="auto"/>
              </w:rPr>
            </w:pPr>
            <w:r>
              <w:rPr>
                <w:rFonts w:ascii="Arial" w:cs="Arial" w:eastAsia="Arial" w:hAnsi="Arial"/>
                <w:sz w:val="18"/>
                <w:szCs w:val="18"/>
                <w:color w:val="0E32E1"/>
              </w:rPr>
              <w:t>2023 and 2022</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0E32E1"/>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07"/>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Condensed Consolidated Statements of Shareholders' Equity for the Three Months Ended March 31, 2023 and 2022</w:t>
            </w:r>
          </w:p>
        </w:tc>
        <w:tc>
          <w:tcPr>
            <w:tcW w:w="380" w:type="dxa"/>
            <w:vAlign w:val="bottom"/>
            <w:gridSpan w:val="3"/>
          </w:tcPr>
          <w:p>
            <w:pPr>
              <w:jc w:val="center"/>
              <w:ind w:left="71"/>
              <w:spacing w:after="0"/>
              <w:rPr>
                <w:sz w:val="20"/>
                <w:szCs w:val="20"/>
                <w:color w:val="auto"/>
              </w:rPr>
            </w:pPr>
            <w:r>
              <w:rPr>
                <w:rFonts w:ascii="Arial" w:cs="Arial" w:eastAsia="Arial" w:hAnsi="Arial"/>
                <w:sz w:val="18"/>
                <w:szCs w:val="18"/>
                <w:color w:val="0E32E1"/>
                <w:w w:val="99"/>
              </w:rPr>
              <w:t>3</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700" w:type="dxa"/>
            <w:vAlign w:val="bottom"/>
            <w:gridSpan w:val="2"/>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200" w:type="dxa"/>
            <w:vAlign w:val="bottom"/>
            <w:gridSpan w:val="2"/>
            <w:shd w:val="clear" w:color="auto" w:fill="0E32E1"/>
          </w:tcPr>
          <w:p>
            <w:pPr>
              <w:spacing w:after="0" w:line="20" w:lineRule="exact"/>
              <w:rPr>
                <w:sz w:val="1"/>
                <w:szCs w:val="1"/>
                <w:color w:val="auto"/>
              </w:rPr>
            </w:pPr>
          </w:p>
        </w:tc>
        <w:tc>
          <w:tcPr>
            <w:tcW w:w="1460" w:type="dxa"/>
            <w:vAlign w:val="bottom"/>
            <w:shd w:val="clear" w:color="auto" w:fill="0E32E1"/>
          </w:tcPr>
          <w:p>
            <w:pPr>
              <w:spacing w:after="0" w:line="20" w:lineRule="exact"/>
              <w:rPr>
                <w:sz w:val="1"/>
                <w:szCs w:val="1"/>
                <w:color w:val="auto"/>
              </w:rPr>
            </w:pPr>
          </w:p>
        </w:tc>
        <w:tc>
          <w:tcPr>
            <w:tcW w:w="700" w:type="dxa"/>
            <w:vAlign w:val="bottom"/>
            <w:shd w:val="clear" w:color="auto" w:fill="0E32E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60" w:type="dxa"/>
            <w:vAlign w:val="bottom"/>
            <w:gridSpan w:val="13"/>
          </w:tcPr>
          <w:p>
            <w:pPr>
              <w:spacing w:after="0"/>
              <w:rPr>
                <w:sz w:val="20"/>
                <w:szCs w:val="20"/>
                <w:color w:val="auto"/>
              </w:rPr>
            </w:pPr>
            <w:r>
              <w:rPr>
                <w:rFonts w:ascii="Arial" w:cs="Arial" w:eastAsia="Arial" w:hAnsi="Arial"/>
                <w:sz w:val="18"/>
                <w:szCs w:val="18"/>
                <w:color w:val="0E32E1"/>
              </w:rPr>
              <w:t>Condensed Consolidated Statements of Cash Flows for the Three Months Ended March 31, 2023 and 2022</w:t>
            </w:r>
          </w:p>
        </w:tc>
        <w:tc>
          <w:tcPr>
            <w:tcW w:w="3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E32E1"/>
                <w:w w:val="99"/>
              </w:rPr>
              <w:t>4</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700" w:type="dxa"/>
            <w:vAlign w:val="bottom"/>
            <w:gridSpan w:val="2"/>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200" w:type="dxa"/>
            <w:vAlign w:val="bottom"/>
            <w:gridSpan w:val="2"/>
            <w:shd w:val="clear" w:color="auto" w:fill="0E32E1"/>
          </w:tcPr>
          <w:p>
            <w:pPr>
              <w:spacing w:after="0" w:line="20" w:lineRule="exact"/>
              <w:rPr>
                <w:sz w:val="1"/>
                <w:szCs w:val="1"/>
                <w:color w:val="auto"/>
              </w:rPr>
            </w:pPr>
          </w:p>
        </w:tc>
        <w:tc>
          <w:tcPr>
            <w:tcW w:w="1460" w:type="dxa"/>
            <w:vAlign w:val="bottom"/>
            <w:shd w:val="clear" w:color="auto" w:fill="0E32E1"/>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60" w:type="dxa"/>
            <w:vAlign w:val="bottom"/>
            <w:gridSpan w:val="8"/>
          </w:tcPr>
          <w:p>
            <w:pPr>
              <w:spacing w:after="0"/>
              <w:rPr>
                <w:sz w:val="20"/>
                <w:szCs w:val="20"/>
                <w:color w:val="auto"/>
              </w:rPr>
            </w:pPr>
            <w:r>
              <w:rPr>
                <w:rFonts w:ascii="Arial" w:cs="Arial" w:eastAsia="Arial" w:hAnsi="Arial"/>
                <w:sz w:val="18"/>
                <w:szCs w:val="18"/>
                <w:color w:val="0E32E1"/>
                <w:w w:val="96"/>
              </w:rPr>
              <w:t>Notes to the Condensed Consolidated Financial Statements</w:t>
            </w:r>
          </w:p>
        </w:tc>
        <w:tc>
          <w:tcPr>
            <w:tcW w:w="3800" w:type="dxa"/>
            <w:vAlign w:val="bottom"/>
            <w:gridSpan w:val="4"/>
          </w:tcPr>
          <w:p>
            <w:pPr>
              <w:spacing w:after="0"/>
              <w:rPr>
                <w:sz w:val="17"/>
                <w:szCs w:val="17"/>
                <w:color w:val="auto"/>
              </w:rPr>
            </w:pPr>
          </w:p>
        </w:tc>
        <w:tc>
          <w:tcPr>
            <w:tcW w:w="10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E32E1"/>
                <w:w w:val="99"/>
              </w:rPr>
              <w:t>5</w:t>
            </w:r>
          </w:p>
        </w:tc>
      </w:tr>
      <w:tr>
        <w:trPr>
          <w:trHeight w:val="20"/>
        </w:trPr>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700" w:type="dxa"/>
            <w:vAlign w:val="bottom"/>
            <w:gridSpan w:val="2"/>
            <w:shd w:val="clear" w:color="auto" w:fill="0E32E1"/>
          </w:tcPr>
          <w:p>
            <w:pPr>
              <w:spacing w:after="0" w:line="20" w:lineRule="exact"/>
              <w:rPr>
                <w:sz w:val="1"/>
                <w:szCs w:val="1"/>
                <w:color w:val="auto"/>
              </w:rPr>
            </w:pPr>
          </w:p>
        </w:tc>
        <w:tc>
          <w:tcPr>
            <w:tcW w:w="140" w:type="dxa"/>
            <w:vAlign w:val="bottom"/>
            <w:tcBorders>
              <w:left w:val="single" w:sz="8" w:color="0E32E1"/>
            </w:tcBorders>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680" w:type="dxa"/>
            <w:vAlign w:val="bottom"/>
            <w:gridSpan w:val="3"/>
          </w:tcPr>
          <w:p>
            <w:pPr>
              <w:spacing w:after="0"/>
              <w:rPr>
                <w:sz w:val="20"/>
                <w:szCs w:val="20"/>
                <w:color w:val="auto"/>
              </w:rPr>
            </w:pPr>
            <w:r>
              <w:rPr>
                <w:rFonts w:ascii="Arial" w:cs="Arial" w:eastAsia="Arial" w:hAnsi="Arial"/>
                <w:sz w:val="18"/>
                <w:szCs w:val="18"/>
                <w:color w:val="0E32E1"/>
              </w:rPr>
              <w:t>Item 2.</w:t>
            </w:r>
          </w:p>
        </w:tc>
        <w:tc>
          <w:tcPr>
            <w:tcW w:w="380" w:type="dxa"/>
            <w:vAlign w:val="bottom"/>
          </w:tcPr>
          <w:p>
            <w:pPr>
              <w:spacing w:after="0"/>
              <w:rPr>
                <w:sz w:val="17"/>
                <w:szCs w:val="17"/>
                <w:color w:val="auto"/>
              </w:rPr>
            </w:pPr>
          </w:p>
        </w:tc>
        <w:tc>
          <w:tcPr>
            <w:tcW w:w="7000" w:type="dxa"/>
            <w:vAlign w:val="bottom"/>
            <w:gridSpan w:val="11"/>
          </w:tcPr>
          <w:p>
            <w:pPr>
              <w:spacing w:after="0"/>
              <w:rPr>
                <w:sz w:val="20"/>
                <w:szCs w:val="20"/>
                <w:color w:val="auto"/>
              </w:rPr>
            </w:pPr>
            <w:r>
              <w:rPr>
                <w:rFonts w:ascii="Arial" w:cs="Arial" w:eastAsia="Arial" w:hAnsi="Arial"/>
                <w:sz w:val="18"/>
                <w:szCs w:val="18"/>
                <w:color w:val="0E32E1"/>
                <w:w w:val="98"/>
              </w:rPr>
              <w:t>Management's Discussion and Analysis of Financial Condition and Results of Operations</w:t>
            </w:r>
          </w:p>
        </w:tc>
        <w:tc>
          <w:tcPr>
            <w:tcW w:w="2460" w:type="dxa"/>
            <w:vAlign w:val="bottom"/>
            <w:gridSpan w:val="4"/>
          </w:tcPr>
          <w:p>
            <w:pPr>
              <w:spacing w:after="0"/>
              <w:rPr>
                <w:sz w:val="17"/>
                <w:szCs w:val="17"/>
                <w:color w:val="auto"/>
              </w:rPr>
            </w:pP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18</w:t>
            </w:r>
          </w:p>
        </w:tc>
      </w:tr>
      <w:tr>
        <w:trPr>
          <w:trHeight w:val="20"/>
        </w:trPr>
        <w:tc>
          <w:tcPr>
            <w:tcW w:w="680" w:type="dxa"/>
            <w:vAlign w:val="bottom"/>
            <w:gridSpan w:val="3"/>
            <w:shd w:val="clear" w:color="auto" w:fill="0E32E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700" w:type="dxa"/>
            <w:vAlign w:val="bottom"/>
            <w:gridSpan w:val="2"/>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200" w:type="dxa"/>
            <w:vAlign w:val="bottom"/>
            <w:gridSpan w:val="2"/>
            <w:shd w:val="clear" w:color="auto" w:fill="0E32E1"/>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r>
      <w:tr>
        <w:trPr>
          <w:trHeight w:val="207"/>
        </w:trPr>
        <w:tc>
          <w:tcPr>
            <w:tcW w:w="680" w:type="dxa"/>
            <w:vAlign w:val="bottom"/>
            <w:gridSpan w:val="3"/>
          </w:tcPr>
          <w:p>
            <w:pPr>
              <w:spacing w:after="0"/>
              <w:rPr>
                <w:sz w:val="20"/>
                <w:szCs w:val="20"/>
                <w:color w:val="auto"/>
              </w:rPr>
            </w:pPr>
            <w:r>
              <w:rPr>
                <w:rFonts w:ascii="Arial" w:cs="Arial" w:eastAsia="Arial" w:hAnsi="Arial"/>
                <w:sz w:val="18"/>
                <w:szCs w:val="18"/>
                <w:color w:val="0E32E1"/>
              </w:rPr>
              <w:t>Item 3.</w:t>
            </w:r>
          </w:p>
        </w:tc>
        <w:tc>
          <w:tcPr>
            <w:tcW w:w="380" w:type="dxa"/>
            <w:vAlign w:val="bottom"/>
          </w:tcPr>
          <w:p>
            <w:pPr>
              <w:spacing w:after="0"/>
              <w:rPr>
                <w:sz w:val="17"/>
                <w:szCs w:val="17"/>
                <w:color w:val="auto"/>
              </w:rPr>
            </w:pPr>
          </w:p>
        </w:tc>
        <w:tc>
          <w:tcPr>
            <w:tcW w:w="7000" w:type="dxa"/>
            <w:vAlign w:val="bottom"/>
            <w:gridSpan w:val="11"/>
          </w:tcPr>
          <w:p>
            <w:pPr>
              <w:spacing w:after="0"/>
              <w:rPr>
                <w:sz w:val="20"/>
                <w:szCs w:val="20"/>
                <w:color w:val="auto"/>
              </w:rPr>
            </w:pPr>
            <w:r>
              <w:rPr>
                <w:rFonts w:ascii="Arial" w:cs="Arial" w:eastAsia="Arial" w:hAnsi="Arial"/>
                <w:sz w:val="18"/>
                <w:szCs w:val="18"/>
                <w:color w:val="0E32E1"/>
              </w:rPr>
              <w:t>Quantitative and Qualitative Disclosures About Market Risk</w:t>
            </w:r>
          </w:p>
        </w:tc>
        <w:tc>
          <w:tcPr>
            <w:tcW w:w="2460" w:type="dxa"/>
            <w:vAlign w:val="bottom"/>
            <w:gridSpan w:val="4"/>
          </w:tcPr>
          <w:p>
            <w:pPr>
              <w:spacing w:after="0"/>
              <w:rPr>
                <w:sz w:val="17"/>
                <w:szCs w:val="17"/>
                <w:color w:val="auto"/>
              </w:rPr>
            </w:pP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27</w:t>
            </w:r>
          </w:p>
        </w:tc>
      </w:tr>
      <w:tr>
        <w:trPr>
          <w:trHeight w:val="20"/>
        </w:trPr>
        <w:tc>
          <w:tcPr>
            <w:tcW w:w="540" w:type="dxa"/>
            <w:vAlign w:val="bottom"/>
            <w:shd w:val="clear" w:color="auto" w:fill="0E32E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700" w:type="dxa"/>
            <w:vAlign w:val="bottom"/>
            <w:gridSpan w:val="2"/>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r>
      <w:tr>
        <w:trPr>
          <w:trHeight w:val="207"/>
        </w:trPr>
        <w:tc>
          <w:tcPr>
            <w:tcW w:w="1060" w:type="dxa"/>
            <w:vAlign w:val="bottom"/>
            <w:gridSpan w:val="4"/>
          </w:tcPr>
          <w:p>
            <w:pPr>
              <w:spacing w:after="0"/>
              <w:rPr>
                <w:sz w:val="20"/>
                <w:szCs w:val="20"/>
                <w:color w:val="auto"/>
              </w:rPr>
            </w:pPr>
            <w:r>
              <w:rPr>
                <w:rFonts w:ascii="Arial" w:cs="Arial" w:eastAsia="Arial" w:hAnsi="Arial"/>
                <w:sz w:val="18"/>
                <w:szCs w:val="18"/>
                <w:color w:val="0E32E1"/>
              </w:rPr>
              <w:t>Item 4.</w:t>
            </w:r>
          </w:p>
        </w:tc>
        <w:tc>
          <w:tcPr>
            <w:tcW w:w="9460" w:type="dxa"/>
            <w:vAlign w:val="bottom"/>
            <w:gridSpan w:val="15"/>
          </w:tcPr>
          <w:p>
            <w:pPr>
              <w:spacing w:after="0"/>
              <w:rPr>
                <w:sz w:val="20"/>
                <w:szCs w:val="20"/>
                <w:color w:val="auto"/>
              </w:rPr>
            </w:pPr>
            <w:r>
              <w:rPr>
                <w:rFonts w:ascii="Arial" w:cs="Arial" w:eastAsia="Arial" w:hAnsi="Arial"/>
                <w:sz w:val="18"/>
                <w:szCs w:val="18"/>
                <w:color w:val="0E32E1"/>
              </w:rPr>
              <w:t>Controls and Procedures</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27</w:t>
            </w:r>
          </w:p>
        </w:tc>
      </w:tr>
      <w:tr>
        <w:trPr>
          <w:trHeight w:val="20"/>
        </w:trPr>
        <w:tc>
          <w:tcPr>
            <w:tcW w:w="540" w:type="dxa"/>
            <w:vAlign w:val="bottom"/>
            <w:shd w:val="clear" w:color="auto" w:fill="0E32E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r>
      <w:tr>
        <w:trPr>
          <w:trHeight w:val="300"/>
        </w:trPr>
        <w:tc>
          <w:tcPr>
            <w:tcW w:w="1060" w:type="dxa"/>
            <w:vAlign w:val="bottom"/>
            <w:gridSpan w:val="4"/>
          </w:tcPr>
          <w:p>
            <w:pPr>
              <w:spacing w:after="0"/>
              <w:rPr>
                <w:sz w:val="20"/>
                <w:szCs w:val="20"/>
                <w:color w:val="auto"/>
              </w:rPr>
            </w:pPr>
            <w:r>
              <w:rPr>
                <w:rFonts w:ascii="Arial" w:cs="Arial" w:eastAsia="Arial" w:hAnsi="Arial"/>
                <w:sz w:val="18"/>
                <w:szCs w:val="18"/>
                <w:b w:val="1"/>
                <w:bCs w:val="1"/>
                <w:color w:val="0E32E1"/>
              </w:rPr>
              <w:t>PART II.</w:t>
            </w:r>
          </w:p>
        </w:tc>
        <w:tc>
          <w:tcPr>
            <w:tcW w:w="9460" w:type="dxa"/>
            <w:vAlign w:val="bottom"/>
            <w:gridSpan w:val="15"/>
          </w:tcPr>
          <w:p>
            <w:pPr>
              <w:spacing w:after="0"/>
              <w:rPr>
                <w:sz w:val="20"/>
                <w:szCs w:val="20"/>
                <w:color w:val="auto"/>
              </w:rPr>
            </w:pPr>
            <w:r>
              <w:rPr>
                <w:rFonts w:ascii="Arial" w:cs="Arial" w:eastAsia="Arial" w:hAnsi="Arial"/>
                <w:sz w:val="18"/>
                <w:szCs w:val="18"/>
                <w:color w:val="0E32E1"/>
              </w:rPr>
              <w:t>Other Information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680" w:type="dxa"/>
            <w:vAlign w:val="bottom"/>
            <w:gridSpan w:val="3"/>
            <w:shd w:val="clear" w:color="auto" w:fill="0E32E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207"/>
        </w:trPr>
        <w:tc>
          <w:tcPr>
            <w:tcW w:w="680" w:type="dxa"/>
            <w:vAlign w:val="bottom"/>
            <w:gridSpan w:val="3"/>
          </w:tcPr>
          <w:p>
            <w:pPr>
              <w:spacing w:after="0"/>
              <w:rPr>
                <w:sz w:val="20"/>
                <w:szCs w:val="20"/>
                <w:color w:val="auto"/>
              </w:rPr>
            </w:pPr>
            <w:r>
              <w:rPr>
                <w:rFonts w:ascii="Arial" w:cs="Arial" w:eastAsia="Arial" w:hAnsi="Arial"/>
                <w:sz w:val="18"/>
                <w:szCs w:val="18"/>
                <w:color w:val="0E32E1"/>
              </w:rPr>
              <w:t>Item 1.</w:t>
            </w:r>
          </w:p>
        </w:tc>
        <w:tc>
          <w:tcPr>
            <w:tcW w:w="380" w:type="dxa"/>
            <w:vAlign w:val="bottom"/>
          </w:tcPr>
          <w:p>
            <w:pPr>
              <w:spacing w:after="0"/>
              <w:rPr>
                <w:sz w:val="17"/>
                <w:szCs w:val="17"/>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Legal Proceedings</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28</w:t>
            </w:r>
          </w:p>
        </w:tc>
      </w:tr>
      <w:tr>
        <w:trPr>
          <w:trHeight w:val="20"/>
        </w:trPr>
        <w:tc>
          <w:tcPr>
            <w:tcW w:w="540" w:type="dxa"/>
            <w:vAlign w:val="bottom"/>
            <w:shd w:val="clear" w:color="auto" w:fill="0E32E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860" w:type="dxa"/>
            <w:vAlign w:val="bottom"/>
            <w:gridSpan w:val="3"/>
            <w:shd w:val="clear" w:color="auto" w:fill="0E32E1"/>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r>
      <w:tr>
        <w:trPr>
          <w:trHeight w:val="207"/>
        </w:trPr>
        <w:tc>
          <w:tcPr>
            <w:tcW w:w="1060" w:type="dxa"/>
            <w:vAlign w:val="bottom"/>
            <w:tcBorders>
              <w:bottom w:val="single" w:sz="8" w:color="0E32E1"/>
            </w:tcBorders>
            <w:gridSpan w:val="4"/>
          </w:tcPr>
          <w:p>
            <w:pPr>
              <w:spacing w:after="0"/>
              <w:rPr>
                <w:sz w:val="20"/>
                <w:szCs w:val="20"/>
                <w:color w:val="auto"/>
              </w:rPr>
            </w:pPr>
            <w:r>
              <w:rPr>
                <w:rFonts w:ascii="Arial" w:cs="Arial" w:eastAsia="Arial" w:hAnsi="Arial"/>
                <w:sz w:val="18"/>
                <w:szCs w:val="18"/>
                <w:color w:val="0E32E1"/>
              </w:rPr>
              <w:t>Item 2.</w:t>
            </w:r>
          </w:p>
        </w:tc>
        <w:tc>
          <w:tcPr>
            <w:tcW w:w="4800" w:type="dxa"/>
            <w:vAlign w:val="bottom"/>
            <w:tcBorders>
              <w:bottom w:val="single" w:sz="8" w:color="0E32E1"/>
            </w:tcBorders>
            <w:gridSpan w:val="9"/>
          </w:tcPr>
          <w:p>
            <w:pPr>
              <w:spacing w:after="0"/>
              <w:rPr>
                <w:sz w:val="20"/>
                <w:szCs w:val="20"/>
                <w:color w:val="auto"/>
              </w:rPr>
            </w:pPr>
            <w:r>
              <w:rPr>
                <w:rFonts w:ascii="Arial" w:cs="Arial" w:eastAsia="Arial" w:hAnsi="Arial"/>
                <w:sz w:val="18"/>
                <w:szCs w:val="18"/>
                <w:color w:val="0E32E1"/>
                <w:w w:val="98"/>
              </w:rPr>
              <w:t>Unregistered Sales of Equity Securities and Use of Proceeds</w:t>
            </w:r>
          </w:p>
        </w:tc>
        <w:tc>
          <w:tcPr>
            <w:tcW w:w="4660" w:type="dxa"/>
            <w:vAlign w:val="bottom"/>
            <w:gridSpan w:val="6"/>
          </w:tcPr>
          <w:p>
            <w:pPr>
              <w:spacing w:after="0"/>
              <w:rPr>
                <w:sz w:val="17"/>
                <w:szCs w:val="17"/>
                <w:color w:val="auto"/>
              </w:rPr>
            </w:pP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28</w:t>
            </w:r>
          </w:p>
        </w:tc>
      </w:tr>
      <w:tr>
        <w:trPr>
          <w:trHeight w:val="207"/>
        </w:trPr>
        <w:tc>
          <w:tcPr>
            <w:tcW w:w="1060" w:type="dxa"/>
            <w:vAlign w:val="bottom"/>
            <w:gridSpan w:val="4"/>
          </w:tcPr>
          <w:p>
            <w:pPr>
              <w:spacing w:after="0"/>
              <w:rPr>
                <w:sz w:val="20"/>
                <w:szCs w:val="20"/>
                <w:color w:val="auto"/>
              </w:rPr>
            </w:pPr>
            <w:r>
              <w:rPr>
                <w:rFonts w:ascii="Arial" w:cs="Arial" w:eastAsia="Arial" w:hAnsi="Arial"/>
                <w:sz w:val="18"/>
                <w:szCs w:val="18"/>
                <w:color w:val="0E32E1"/>
              </w:rPr>
              <w:t>Item 6.</w:t>
            </w:r>
          </w:p>
        </w:tc>
        <w:tc>
          <w:tcPr>
            <w:tcW w:w="9460" w:type="dxa"/>
            <w:vAlign w:val="bottom"/>
            <w:gridSpan w:val="15"/>
          </w:tcPr>
          <w:p>
            <w:pPr>
              <w:spacing w:after="0"/>
              <w:rPr>
                <w:sz w:val="20"/>
                <w:szCs w:val="20"/>
                <w:color w:val="auto"/>
              </w:rPr>
            </w:pPr>
            <w:r>
              <w:rPr>
                <w:rFonts w:ascii="Arial" w:cs="Arial" w:eastAsia="Arial" w:hAnsi="Arial"/>
                <w:sz w:val="18"/>
                <w:szCs w:val="18"/>
                <w:color w:val="0E32E1"/>
              </w:rPr>
              <w:t>Exhibits</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29</w:t>
            </w:r>
          </w:p>
        </w:tc>
      </w:tr>
      <w:tr>
        <w:trPr>
          <w:trHeight w:val="20"/>
        </w:trPr>
        <w:tc>
          <w:tcPr>
            <w:tcW w:w="54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r>
    </w:tbl>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E32E1"/>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624205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320" w:top="1094" w:right="6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WORLD FUEL SERVICES CORPORATION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(Unaudited - In millions,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2023</w:t>
            </w:r>
          </w:p>
        </w:tc>
        <w:tc>
          <w:tcPr>
            <w:tcW w:w="200" w:type="dxa"/>
            <w:vAlign w:val="bottom"/>
          </w:tcPr>
          <w:p>
            <w:pPr>
              <w:spacing w:after="0"/>
              <w:rPr>
                <w:sz w:val="20"/>
                <w:szCs w:val="20"/>
                <w:color w:val="auto"/>
              </w:rPr>
            </w:pPr>
          </w:p>
        </w:tc>
        <w:tc>
          <w:tcPr>
            <w:tcW w:w="1980" w:type="dxa"/>
            <w:vAlign w:val="bottom"/>
          </w:tcPr>
          <w:p>
            <w:pPr>
              <w:jc w:val="right"/>
              <w:ind w:right="211"/>
              <w:spacing w:after="0"/>
              <w:rPr>
                <w:sz w:val="20"/>
                <w:szCs w:val="20"/>
                <w:color w:val="auto"/>
              </w:rPr>
            </w:pPr>
            <w:r>
              <w:rPr>
                <w:rFonts w:ascii="Arial" w:cs="Arial" w:eastAsia="Arial" w:hAnsi="Arial"/>
                <w:sz w:val="18"/>
                <w:szCs w:val="18"/>
                <w:b w:val="1"/>
                <w:bCs w:val="1"/>
                <w:color w:val="auto"/>
              </w:rPr>
              <w:t>December 31, 2022</w:t>
            </w:r>
          </w:p>
        </w:tc>
      </w:tr>
      <w:tr>
        <w:trPr>
          <w:trHeight w:val="221"/>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spacing w:after="0"/>
              <w:rPr>
                <w:sz w:val="19"/>
                <w:szCs w:val="19"/>
                <w:color w:val="auto"/>
              </w:rPr>
            </w:pPr>
          </w:p>
        </w:tc>
      </w:tr>
      <w:tr>
        <w:trPr>
          <w:trHeight w:val="226"/>
        </w:trPr>
        <w:tc>
          <w:tcPr>
            <w:tcW w:w="67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8"/>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r>
      <w:tr>
        <w:trPr>
          <w:trHeight w:val="199"/>
        </w:trPr>
        <w:tc>
          <w:tcPr>
            <w:tcW w:w="6740" w:type="dxa"/>
            <w:vAlign w:val="bottom"/>
          </w:tcPr>
          <w:p>
            <w:pPr>
              <w:ind w:left="140"/>
              <w:spacing w:after="0" w:line="200" w:lineRule="exact"/>
              <w:rPr>
                <w:sz w:val="20"/>
                <w:szCs w:val="20"/>
                <w:color w:val="auto"/>
              </w:rPr>
            </w:pPr>
            <w:r>
              <w:rPr>
                <w:rFonts w:ascii="Arial" w:cs="Arial" w:eastAsia="Arial" w:hAnsi="Arial"/>
                <w:sz w:val="18"/>
                <w:szCs w:val="18"/>
                <w:color w:val="auto"/>
              </w:rPr>
              <w:t>Accounts receivable, net of allowance for credit losses of $14.5 million and $14.1</w:t>
            </w:r>
          </w:p>
        </w:tc>
        <w:tc>
          <w:tcPr>
            <w:tcW w:w="2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14"/>
        </w:trPr>
        <w:tc>
          <w:tcPr>
            <w:tcW w:w="6740" w:type="dxa"/>
            <w:vAlign w:val="bottom"/>
          </w:tcPr>
          <w:p>
            <w:pPr>
              <w:ind w:left="140"/>
              <w:spacing w:after="0"/>
              <w:rPr>
                <w:sz w:val="20"/>
                <w:szCs w:val="20"/>
                <w:color w:val="auto"/>
              </w:rPr>
            </w:pPr>
            <w:r>
              <w:rPr>
                <w:rFonts w:ascii="Arial" w:cs="Arial" w:eastAsia="Arial" w:hAnsi="Arial"/>
                <w:sz w:val="18"/>
                <w:szCs w:val="18"/>
                <w:color w:val="auto"/>
              </w:rPr>
              <w:t>million as of March 31, 2023 and December 31, 2022, respectively</w:t>
            </w:r>
          </w:p>
        </w:tc>
        <w:tc>
          <w:tcPr>
            <w:tcW w:w="2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2,997.2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3,294.1</w:t>
            </w:r>
          </w:p>
        </w:tc>
      </w:tr>
      <w:tr>
        <w:trPr>
          <w:trHeight w:val="228"/>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r>
      <w:tr>
        <w:trPr>
          <w:trHeight w:val="226"/>
        </w:trPr>
        <w:tc>
          <w:tcPr>
            <w:tcW w:w="674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81.4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28"/>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assets, net</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r>
      <w:tr>
        <w:trPr>
          <w:trHeight w:val="226"/>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w:t>
            </w:r>
          </w:p>
        </w:tc>
      </w:tr>
      <w:tr>
        <w:trPr>
          <w:trHeight w:val="221"/>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5,238.1</w:t>
            </w:r>
          </w:p>
        </w:tc>
      </w:tr>
      <w:tr>
        <w:trPr>
          <w:trHeight w:val="226"/>
        </w:trPr>
        <w:tc>
          <w:tcPr>
            <w:tcW w:w="67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497.0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484.2</w:t>
            </w:r>
          </w:p>
        </w:tc>
      </w:tr>
      <w:tr>
        <w:trPr>
          <w:trHeight w:val="228"/>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w:t>
            </w:r>
          </w:p>
        </w:tc>
      </w:tr>
      <w:tr>
        <w:trPr>
          <w:trHeight w:val="226"/>
        </w:trPr>
        <w:tc>
          <w:tcPr>
            <w:tcW w:w="6740" w:type="dxa"/>
            <w:vAlign w:val="bottom"/>
          </w:tcPr>
          <w:p>
            <w:pPr>
              <w:ind w:left="20"/>
              <w:spacing w:after="0"/>
              <w:rPr>
                <w:sz w:val="20"/>
                <w:szCs w:val="20"/>
                <w:color w:val="auto"/>
              </w:rPr>
            </w:pPr>
            <w:r>
              <w:rPr>
                <w:rFonts w:ascii="Arial" w:cs="Arial" w:eastAsia="Arial" w:hAnsi="Arial"/>
                <w:sz w:val="18"/>
                <w:szCs w:val="18"/>
                <w:color w:val="auto"/>
              </w:rPr>
              <w:t>Identifiable intangible assets, net</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327.0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336.2</w:t>
            </w: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873.2</w:t>
            </w:r>
          </w:p>
        </w:tc>
      </w:tr>
      <w:tr>
        <w:trPr>
          <w:trHeight w:val="221"/>
        </w:trPr>
        <w:tc>
          <w:tcPr>
            <w:tcW w:w="674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7,485.8</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8,164.6</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26"/>
        </w:trPr>
        <w:tc>
          <w:tcPr>
            <w:tcW w:w="67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8"/>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6"/>
        </w:trPr>
        <w:tc>
          <w:tcPr>
            <w:tcW w:w="67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3,213.2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3,529.5</w:t>
            </w:r>
          </w:p>
        </w:tc>
      </w:tr>
      <w:tr>
        <w:trPr>
          <w:trHeight w:val="228"/>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liabilities, net</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26"/>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w:t>
            </w:r>
          </w:p>
        </w:tc>
      </w:tr>
      <w:tr>
        <w:trPr>
          <w:trHeight w:val="221"/>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4,608.6</w:t>
            </w:r>
          </w:p>
        </w:tc>
      </w:tr>
      <w:tr>
        <w:trPr>
          <w:trHeight w:val="226"/>
        </w:trPr>
        <w:tc>
          <w:tcPr>
            <w:tcW w:w="67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708.4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829.9</w:t>
            </w: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735.3</w:t>
            </w:r>
          </w:p>
        </w:tc>
      </w:tr>
      <w:tr>
        <w:trPr>
          <w:trHeight w:val="220"/>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5,471.8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6,173.8</w:t>
            </w:r>
          </w:p>
        </w:tc>
      </w:tr>
      <w:tr>
        <w:trPr>
          <w:trHeight w:val="208"/>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26"/>
        </w:trPr>
        <w:tc>
          <w:tcPr>
            <w:tcW w:w="6740" w:type="dxa"/>
            <w:vAlign w:val="bottom"/>
          </w:tcPr>
          <w:p>
            <w:pPr>
              <w:ind w:left="2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8"/>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 Fuel shareholders' equity:</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26"/>
        </w:trPr>
        <w:tc>
          <w:tcPr>
            <w:tcW w:w="6740" w:type="dxa"/>
            <w:vAlign w:val="bottom"/>
          </w:tcPr>
          <w:p>
            <w:pPr>
              <w:ind w:left="140"/>
              <w:spacing w:after="0"/>
              <w:rPr>
                <w:sz w:val="20"/>
                <w:szCs w:val="20"/>
                <w:color w:val="auto"/>
              </w:rPr>
            </w:pPr>
            <w:r>
              <w:rPr>
                <w:rFonts w:ascii="Arial" w:cs="Arial" w:eastAsia="Arial" w:hAnsi="Arial"/>
                <w:sz w:val="18"/>
                <w:szCs w:val="18"/>
                <w:color w:val="auto"/>
              </w:rPr>
              <w:t>Preferred stock, $1.00 par value; 0.1 shares authorized, none issued</w:t>
            </w:r>
          </w:p>
        </w:tc>
        <w:tc>
          <w:tcPr>
            <w:tcW w:w="280" w:type="dxa"/>
            <w:vAlign w:val="bottom"/>
          </w:tcPr>
          <w:p>
            <w:pPr>
              <w:spacing w:after="0"/>
              <w:rPr>
                <w:sz w:val="19"/>
                <w:szCs w:val="19"/>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0"/>
        </w:trPr>
        <w:tc>
          <w:tcPr>
            <w:tcW w:w="674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Common stock, $0.01 par value; 100.0 shares authorized, 62.1 and 62.0 issued</w:t>
            </w: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214"/>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outstanding as of March 31, 2023 and December 31, 2022, respectively</w:t>
            </w:r>
          </w:p>
        </w:tc>
        <w:tc>
          <w:tcPr>
            <w:tcW w:w="2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6"/>
        </w:trPr>
        <w:tc>
          <w:tcPr>
            <w:tcW w:w="6740" w:type="dxa"/>
            <w:vAlign w:val="bottom"/>
          </w:tcPr>
          <w:p>
            <w:pPr>
              <w:ind w:left="140"/>
              <w:spacing w:after="0"/>
              <w:rPr>
                <w:sz w:val="20"/>
                <w:szCs w:val="20"/>
                <w:color w:val="auto"/>
              </w:rPr>
            </w:pPr>
            <w:r>
              <w:rPr>
                <w:rFonts w:ascii="Arial" w:cs="Arial" w:eastAsia="Arial" w:hAnsi="Arial"/>
                <w:sz w:val="18"/>
                <w:szCs w:val="18"/>
                <w:color w:val="auto"/>
              </w:rPr>
              <w:t>Capital in excess of par value</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188.2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182.4</w:t>
            </w:r>
          </w:p>
        </w:tc>
      </w:tr>
      <w:tr>
        <w:trPr>
          <w:trHeight w:val="228"/>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1,962.5</w:t>
            </w:r>
          </w:p>
        </w:tc>
      </w:tr>
      <w:tr>
        <w:trPr>
          <w:trHeight w:val="226"/>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r>
      <w:tr>
        <w:trPr>
          <w:trHeight w:val="221"/>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World Fuel shareholders' equity</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1,984.9</w:t>
            </w:r>
          </w:p>
        </w:tc>
      </w:tr>
      <w:tr>
        <w:trPr>
          <w:trHeight w:val="226"/>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0"/>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1,990.7</w:t>
            </w:r>
          </w:p>
        </w:tc>
      </w:tr>
      <w:tr>
        <w:trPr>
          <w:trHeight w:val="221"/>
        </w:trPr>
        <w:tc>
          <w:tcPr>
            <w:tcW w:w="6740" w:type="dxa"/>
            <w:vAlign w:val="bottom"/>
          </w:tcPr>
          <w:p>
            <w:pPr>
              <w:ind w:left="2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7,485.8</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8,164.6</w:t>
            </w: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3" w:name="page4"/>
    <w:bookmarkEnd w:id="3"/>
    <w:p>
      <w:pPr>
        <w:spacing w:after="0"/>
        <w:rPr>
          <w:sz w:val="20"/>
          <w:szCs w:val="20"/>
          <w:color w:val="auto"/>
        </w:rPr>
      </w:pPr>
      <w:r>
        <w:rPr>
          <w:rFonts w:ascii="Arial" w:cs="Arial" w:eastAsia="Arial" w:hAnsi="Arial"/>
          <w:sz w:val="21"/>
          <w:szCs w:val="21"/>
          <w:b w:val="1"/>
          <w:bCs w:val="1"/>
          <w:color w:val="auto"/>
        </w:rPr>
        <w:t>WORLD FUEL SERVICES CORPORATION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CONDENSED CONSOLIDATED STATEMENTS OF INCOME AND</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COMPREHENSIVE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 – In millions, except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20" w:type="dxa"/>
            <w:vAlign w:val="bottom"/>
          </w:tcPr>
          <w:p>
            <w:pPr>
              <w:spacing w:after="0"/>
              <w:rPr>
                <w:sz w:val="20"/>
                <w:szCs w:val="20"/>
                <w:color w:val="auto"/>
              </w:rPr>
            </w:pPr>
          </w:p>
        </w:tc>
        <w:tc>
          <w:tcPr>
            <w:tcW w:w="4520" w:type="dxa"/>
            <w:vAlign w:val="bottom"/>
            <w:tcBorders>
              <w:bottom w:val="single" w:sz="8" w:color="auto"/>
            </w:tcBorders>
            <w:gridSpan w:val="5"/>
          </w:tcPr>
          <w:p>
            <w:pPr>
              <w:jc w:val="right"/>
              <w:ind w:right="531"/>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360" w:type="dxa"/>
            <w:vAlign w:val="bottom"/>
            <w:shd w:val="clear" w:color="auto" w:fill="CCEEFF"/>
          </w:tcPr>
          <w:p>
            <w:pPr>
              <w:jc w:val="right"/>
              <w:ind w:right="115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12,481.6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12,382.0</w:t>
            </w:r>
          </w:p>
        </w:tc>
        <w:tc>
          <w:tcPr>
            <w:tcW w:w="0" w:type="dxa"/>
            <w:vAlign w:val="bottom"/>
          </w:tcPr>
          <w:p>
            <w:pPr>
              <w:spacing w:after="0"/>
              <w:rPr>
                <w:sz w:val="1"/>
                <w:szCs w:val="1"/>
                <w:color w:val="auto"/>
              </w:rPr>
            </w:pPr>
          </w:p>
        </w:tc>
      </w:tr>
      <w:tr>
        <w:trPr>
          <w:trHeight w:val="22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12,218.9</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12,151.1</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19"/>
        </w:trPr>
        <w:tc>
          <w:tcPr>
            <w:tcW w:w="6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26"/>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2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0"/>
        </w:trPr>
        <w:tc>
          <w:tcPr>
            <w:tcW w:w="6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2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Fuel</w:t>
            </w:r>
          </w:p>
        </w:tc>
        <w:tc>
          <w:tcPr>
            <w:tcW w:w="1360" w:type="dxa"/>
            <w:vAlign w:val="bottom"/>
            <w:tcBorders>
              <w:bottom w:val="single" w:sz="8" w:color="auto"/>
            </w:tcBorders>
            <w:shd w:val="clear" w:color="auto" w:fill="CCEEFF"/>
          </w:tcPr>
          <w:p>
            <w:pPr>
              <w:jc w:val="right"/>
              <w:ind w:right="115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20" w:type="dxa"/>
            <w:vAlign w:val="bottom"/>
          </w:tcPr>
          <w:p>
            <w:pPr>
              <w:ind w:left="20"/>
              <w:spacing w:after="0" w:line="201" w:lineRule="exact"/>
              <w:rPr>
                <w:sz w:val="20"/>
                <w:szCs w:val="20"/>
                <w:color w:val="auto"/>
              </w:rPr>
            </w:pPr>
            <w:r>
              <w:rPr>
                <w:rFonts w:ascii="Arial" w:cs="Arial" w:eastAsia="Arial" w:hAnsi="Arial"/>
                <w:sz w:val="18"/>
                <w:szCs w:val="18"/>
                <w:color w:val="auto"/>
              </w:rPr>
              <w:t>Basic earnings (loss) per common share</w:t>
            </w:r>
          </w:p>
        </w:tc>
        <w:tc>
          <w:tcPr>
            <w:tcW w:w="1360" w:type="dxa"/>
            <w:vAlign w:val="bottom"/>
            <w:tcBorders>
              <w:bottom w:val="single" w:sz="8" w:color="auto"/>
            </w:tcBorders>
          </w:tcPr>
          <w:p>
            <w:pPr>
              <w:jc w:val="right"/>
              <w:ind w:right="1151"/>
              <w:spacing w:after="0" w:line="201"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0.37</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ind w:right="291"/>
              <w:spacing w:after="0" w:line="201" w:lineRule="exact"/>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w:t>
            </w:r>
          </w:p>
        </w:tc>
        <w:tc>
          <w:tcPr>
            <w:tcW w:w="1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20" w:type="dxa"/>
            <w:vAlign w:val="bottom"/>
          </w:tcPr>
          <w:p>
            <w:pPr>
              <w:ind w:left="20"/>
              <w:spacing w:after="0" w:line="201" w:lineRule="exact"/>
              <w:rPr>
                <w:sz w:val="20"/>
                <w:szCs w:val="20"/>
                <w:color w:val="auto"/>
              </w:rPr>
            </w:pPr>
            <w:r>
              <w:rPr>
                <w:rFonts w:ascii="Arial" w:cs="Arial" w:eastAsia="Arial" w:hAnsi="Arial"/>
                <w:sz w:val="18"/>
                <w:szCs w:val="18"/>
                <w:color w:val="auto"/>
              </w:rPr>
              <w:t>Diluted earnings (loss) per common share</w:t>
            </w:r>
          </w:p>
        </w:tc>
        <w:tc>
          <w:tcPr>
            <w:tcW w:w="1360" w:type="dxa"/>
            <w:vAlign w:val="bottom"/>
            <w:tcBorders>
              <w:bottom w:val="single" w:sz="8" w:color="auto"/>
            </w:tcBorders>
          </w:tcPr>
          <w:p>
            <w:pPr>
              <w:jc w:val="right"/>
              <w:ind w:right="1151"/>
              <w:spacing w:after="0" w:line="201"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0.36</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ind w:right="291"/>
              <w:spacing w:after="0" w:line="201" w:lineRule="exact"/>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1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income:</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360" w:type="dxa"/>
            <w:vAlign w:val="bottom"/>
            <w:tcBorders>
              <w:bottom w:val="single" w:sz="8" w:color="auto"/>
            </w:tcBorders>
            <w:shd w:val="clear" w:color="auto" w:fill="CCEEFF"/>
          </w:tcPr>
          <w:p>
            <w:pPr>
              <w:jc w:val="right"/>
              <w:ind w:right="115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9"/>
        </w:trPr>
        <w:tc>
          <w:tcPr>
            <w:tcW w:w="67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6"/>
        </w:trPr>
        <w:tc>
          <w:tcPr>
            <w:tcW w:w="6720" w:type="dxa"/>
            <w:vAlign w:val="bottom"/>
          </w:tcPr>
          <w:p>
            <w:pPr>
              <w:ind w:left="140"/>
              <w:spacing w:after="0" w:line="186" w:lineRule="exact"/>
              <w:rPr>
                <w:sz w:val="20"/>
                <w:szCs w:val="20"/>
                <w:color w:val="auto"/>
              </w:rPr>
            </w:pPr>
            <w:r>
              <w:rPr>
                <w:rFonts w:ascii="Arial" w:cs="Arial" w:eastAsia="Arial" w:hAnsi="Arial"/>
                <w:sz w:val="18"/>
                <w:szCs w:val="18"/>
                <w:color w:val="auto"/>
              </w:rPr>
              <w:t>Cash flow hedges, net of income tax expense (benefit) of ($0.7) and ($7.0) for the</w:t>
            </w:r>
          </w:p>
        </w:tc>
        <w:tc>
          <w:tcPr>
            <w:tcW w:w="1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three months ended March 31, 2023 and 2022, respectively</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0"/>
        </w:trPr>
        <w:tc>
          <w:tcPr>
            <w:tcW w:w="6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comprehensive income (loss)</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0"/>
        </w:trPr>
        <w:tc>
          <w:tcPr>
            <w:tcW w:w="6720" w:type="dxa"/>
            <w:vAlign w:val="bottom"/>
          </w:tcPr>
          <w:p>
            <w:pPr>
              <w:ind w:left="20"/>
              <w:spacing w:after="0"/>
              <w:rPr>
                <w:sz w:val="20"/>
                <w:szCs w:val="20"/>
                <w:color w:val="auto"/>
              </w:rPr>
            </w:pPr>
            <w:r>
              <w:rPr>
                <w:rFonts w:ascii="Arial" w:cs="Arial" w:eastAsia="Arial" w:hAnsi="Arial"/>
                <w:sz w:val="18"/>
                <w:szCs w:val="18"/>
                <w:color w:val="auto"/>
              </w:rPr>
              <w:t>Comprehensive income (loss) including noncontrolling interest</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World Fuel</w:t>
            </w:r>
          </w:p>
        </w:tc>
        <w:tc>
          <w:tcPr>
            <w:tcW w:w="1360" w:type="dxa"/>
            <w:vAlign w:val="bottom"/>
            <w:tcBorders>
              <w:bottom w:val="single" w:sz="8" w:color="auto"/>
            </w:tcBorders>
          </w:tcPr>
          <w:p>
            <w:pPr>
              <w:jc w:val="right"/>
              <w:ind w:right="115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color w:val="auto"/>
        </w:rPr>
        <w:t>WORLD FUEL SERVICES CORPORATION</w:t>
      </w:r>
    </w:p>
    <w:p>
      <w:pPr>
        <w:spacing w:after="0" w:line="38" w:lineRule="exact"/>
        <w:rPr>
          <w:sz w:val="20"/>
          <w:szCs w:val="20"/>
          <w:color w:val="auto"/>
        </w:rPr>
      </w:pPr>
    </w:p>
    <w:p>
      <w:pPr>
        <w:ind w:right="3540"/>
        <w:spacing w:after="0" w:line="227" w:lineRule="auto"/>
        <w:rPr>
          <w:sz w:val="20"/>
          <w:szCs w:val="20"/>
          <w:color w:val="auto"/>
        </w:rPr>
      </w:pPr>
      <w:r>
        <w:rPr>
          <w:rFonts w:ascii="Arial" w:cs="Arial" w:eastAsia="Arial" w:hAnsi="Arial"/>
          <w:sz w:val="21"/>
          <w:szCs w:val="21"/>
          <w:b w:val="1"/>
          <w:bCs w:val="1"/>
          <w:color w:val="auto"/>
        </w:rPr>
        <w:t xml:space="preserve">CONDENSED CONSOLIDATED STATEMENTS OF SHAREHOLDERS' EQUITY </w:t>
      </w:r>
      <w:r>
        <w:rPr>
          <w:rFonts w:ascii="Arial" w:cs="Arial" w:eastAsia="Arial" w:hAnsi="Arial"/>
          <w:sz w:val="17"/>
          <w:szCs w:val="17"/>
          <w:color w:val="auto"/>
        </w:rPr>
        <w:t>(Unaudited -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8"/>
          </w:tcPr>
          <w:p>
            <w:pPr>
              <w:ind w:left="1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Capital in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9"/>
              </w:rPr>
              <w:t>World Fuel</w:t>
            </w:r>
          </w:p>
        </w:tc>
        <w:tc>
          <w:tcPr>
            <w:tcW w:w="12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4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920" w:type="dxa"/>
            <w:vAlign w:val="bottom"/>
            <w:gridSpan w:val="4"/>
            <w:vMerge w:val="restart"/>
          </w:tcPr>
          <w:p>
            <w:pPr>
              <w:ind w:left="40"/>
              <w:spacing w:after="0" w:line="120" w:lineRule="exact"/>
              <w:rPr>
                <w:sz w:val="20"/>
                <w:szCs w:val="20"/>
                <w:color w:val="auto"/>
              </w:rPr>
            </w:pPr>
            <w:r>
              <w:rPr>
                <w:rFonts w:ascii="Arial" w:cs="Arial" w:eastAsia="Arial" w:hAnsi="Arial"/>
                <w:sz w:val="13"/>
                <w:szCs w:val="13"/>
                <w:b w:val="1"/>
                <w:bCs w:val="1"/>
                <w:color w:val="auto"/>
              </w:rPr>
              <w:t>Excess of</w:t>
            </w:r>
          </w:p>
        </w:tc>
        <w:tc>
          <w:tcPr>
            <w:tcW w:w="60" w:type="dxa"/>
            <w:vAlign w:val="bottom"/>
            <w:vMerge w:val="restart"/>
          </w:tcPr>
          <w:p>
            <w:pPr>
              <w:spacing w:after="0"/>
              <w:rPr>
                <w:sz w:val="4"/>
                <w:szCs w:val="4"/>
                <w:color w:val="auto"/>
              </w:rPr>
            </w:pPr>
          </w:p>
        </w:tc>
        <w:tc>
          <w:tcPr>
            <w:tcW w:w="920" w:type="dxa"/>
            <w:vAlign w:val="bottom"/>
            <w:gridSpan w:val="4"/>
            <w:vMerge w:val="restart"/>
          </w:tcPr>
          <w:p>
            <w:pPr>
              <w:ind w:left="80"/>
              <w:spacing w:after="0" w:line="120" w:lineRule="exact"/>
              <w:rPr>
                <w:sz w:val="20"/>
                <w:szCs w:val="20"/>
                <w:color w:val="auto"/>
              </w:rPr>
            </w:pPr>
            <w:r>
              <w:rPr>
                <w:rFonts w:ascii="Arial" w:cs="Arial" w:eastAsia="Arial" w:hAnsi="Arial"/>
                <w:sz w:val="13"/>
                <w:szCs w:val="13"/>
                <w:b w:val="1"/>
                <w:bCs w:val="1"/>
                <w:color w:val="auto"/>
              </w:rPr>
              <w:t>Retained</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3"/>
            <w:vMerge w:val="restart"/>
          </w:tcPr>
          <w:p>
            <w:pPr>
              <w:jc w:val="center"/>
              <w:ind w:right="260"/>
              <w:spacing w:after="0" w:line="120"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4"/>
                <w:szCs w:val="4"/>
                <w:color w:val="auto"/>
              </w:rPr>
            </w:pPr>
          </w:p>
        </w:tc>
        <w:tc>
          <w:tcPr>
            <w:tcW w:w="1220" w:type="dxa"/>
            <w:vAlign w:val="bottom"/>
            <w:gridSpan w:val="4"/>
            <w:vMerge w:val="restart"/>
          </w:tcPr>
          <w:p>
            <w:pPr>
              <w:jc w:val="center"/>
              <w:ind w:right="220"/>
              <w:spacing w:after="0" w:line="120" w:lineRule="exact"/>
              <w:rPr>
                <w:sz w:val="20"/>
                <w:szCs w:val="20"/>
                <w:color w:val="auto"/>
              </w:rPr>
            </w:pPr>
            <w:r>
              <w:rPr>
                <w:rFonts w:ascii="Arial" w:cs="Arial" w:eastAsia="Arial" w:hAnsi="Arial"/>
                <w:sz w:val="13"/>
                <w:szCs w:val="13"/>
                <w:b w:val="1"/>
                <w:bCs w:val="1"/>
                <w:color w:val="auto"/>
              </w:rPr>
              <w:t>Shareholders'</w:t>
            </w:r>
          </w:p>
        </w:tc>
        <w:tc>
          <w:tcPr>
            <w:tcW w:w="120" w:type="dxa"/>
            <w:vAlign w:val="bottom"/>
          </w:tcPr>
          <w:p>
            <w:pPr>
              <w:spacing w:after="0"/>
              <w:rPr>
                <w:sz w:val="4"/>
                <w:szCs w:val="4"/>
                <w:color w:val="auto"/>
              </w:rPr>
            </w:pPr>
          </w:p>
        </w:tc>
        <w:tc>
          <w:tcPr>
            <w:tcW w:w="1260" w:type="dxa"/>
            <w:vAlign w:val="bottom"/>
            <w:gridSpan w:val="2"/>
            <w:vMerge w:val="restart"/>
          </w:tcPr>
          <w:p>
            <w:pPr>
              <w:jc w:val="center"/>
              <w:ind w:right="260"/>
              <w:spacing w:after="0" w:line="120" w:lineRule="exact"/>
              <w:rPr>
                <w:sz w:val="20"/>
                <w:szCs w:val="20"/>
                <w:color w:val="auto"/>
              </w:rPr>
            </w:pPr>
            <w:r>
              <w:rPr>
                <w:rFonts w:ascii="Arial" w:cs="Arial" w:eastAsia="Arial" w:hAnsi="Arial"/>
                <w:sz w:val="13"/>
                <w:szCs w:val="13"/>
                <w:b w:val="1"/>
                <w:bCs w:val="1"/>
                <w:color w:val="auto"/>
              </w:rPr>
              <w:t>Interest</w:t>
            </w:r>
          </w:p>
        </w:tc>
        <w:tc>
          <w:tcPr>
            <w:tcW w:w="160" w:type="dxa"/>
            <w:vAlign w:val="bottom"/>
          </w:tcPr>
          <w:p>
            <w:pPr>
              <w:spacing w:after="0"/>
              <w:rPr>
                <w:sz w:val="4"/>
                <w:szCs w:val="4"/>
                <w:color w:val="auto"/>
              </w:rPr>
            </w:pPr>
          </w:p>
        </w:tc>
        <w:tc>
          <w:tcPr>
            <w:tcW w:w="700" w:type="dxa"/>
            <w:vAlign w:val="bottom"/>
            <w:vMerge w:val="restart"/>
          </w:tcPr>
          <w:p>
            <w:pPr>
              <w:jc w:val="center"/>
              <w:ind w:right="49"/>
              <w:spacing w:after="0" w:line="120"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7"/>
        </w:trPr>
        <w:tc>
          <w:tcPr>
            <w:tcW w:w="2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4"/>
                <w:szCs w:val="4"/>
                <w:color w:val="auto"/>
              </w:rPr>
            </w:pPr>
          </w:p>
        </w:tc>
        <w:tc>
          <w:tcPr>
            <w:tcW w:w="8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continue"/>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Par Value</w:t>
            </w:r>
          </w:p>
        </w:tc>
        <w:tc>
          <w:tcPr>
            <w:tcW w:w="6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6"/>
                <w:szCs w:val="16"/>
                <w:color w:val="auto"/>
              </w:rPr>
            </w:pPr>
          </w:p>
        </w:tc>
        <w:tc>
          <w:tcPr>
            <w:tcW w:w="700" w:type="dxa"/>
            <w:vAlign w:val="bottom"/>
          </w:tcPr>
          <w:p>
            <w:pPr>
              <w:jc w:val="center"/>
              <w:ind w:right="6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182.4</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1,962.5</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1,984.9</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1,990.7</w:t>
            </w:r>
          </w:p>
        </w:tc>
        <w:tc>
          <w:tcPr>
            <w:tcW w:w="0" w:type="dxa"/>
            <w:vAlign w:val="bottom"/>
          </w:tcPr>
          <w:p>
            <w:pPr>
              <w:spacing w:after="0"/>
              <w:rPr>
                <w:sz w:val="1"/>
                <w:szCs w:val="1"/>
                <w:color w:val="auto"/>
              </w:rPr>
            </w:pPr>
          </w:p>
        </w:tc>
      </w:tr>
      <w:tr>
        <w:trPr>
          <w:trHeight w:val="194"/>
        </w:trPr>
        <w:tc>
          <w:tcPr>
            <w:tcW w:w="248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06"/>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65"/>
        </w:trPr>
        <w:tc>
          <w:tcPr>
            <w:tcW w:w="2480" w:type="dxa"/>
            <w:vAlign w:val="bottom"/>
          </w:tcPr>
          <w:p>
            <w:pPr>
              <w:ind w:left="40"/>
              <w:spacing w:after="0"/>
              <w:rPr>
                <w:sz w:val="20"/>
                <w:szCs w:val="20"/>
                <w:color w:val="auto"/>
              </w:rPr>
            </w:pPr>
            <w:r>
              <w:rPr>
                <w:rFonts w:ascii="Arial" w:cs="Arial" w:eastAsia="Arial" w:hAnsi="Arial"/>
                <w:sz w:val="14"/>
                <w:szCs w:val="14"/>
                <w:color w:val="auto"/>
              </w:rPr>
              <w:t>Amortization of share-based payment</w:t>
            </w:r>
          </w:p>
        </w:tc>
        <w:tc>
          <w:tcPr>
            <w:tcW w:w="80" w:type="dxa"/>
            <w:vAlign w:val="bottom"/>
          </w:tcPr>
          <w:p>
            <w:pPr>
              <w:spacing w:after="0"/>
              <w:rPr>
                <w:sz w:val="14"/>
                <w:szCs w:val="14"/>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6.1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9"/>
        </w:trPr>
        <w:tc>
          <w:tcPr>
            <w:tcW w:w="2480" w:type="dxa"/>
            <w:vAlign w:val="bottom"/>
          </w:tcPr>
          <w:p>
            <w:pPr>
              <w:ind w:left="40"/>
              <w:spacing w:after="0"/>
              <w:rPr>
                <w:sz w:val="20"/>
                <w:szCs w:val="20"/>
                <w:color w:val="auto"/>
              </w:rPr>
            </w:pPr>
            <w:r>
              <w:rPr>
                <w:rFonts w:ascii="Arial" w:cs="Arial" w:eastAsia="Arial" w:hAnsi="Arial"/>
                <w:sz w:val="14"/>
                <w:szCs w:val="14"/>
                <w:color w:val="auto"/>
              </w:rPr>
              <w:t>awards</w:t>
            </w:r>
          </w:p>
        </w:tc>
        <w:tc>
          <w:tcPr>
            <w:tcW w:w="8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(cancellation) of common</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48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stock related to share-based payment</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4"/>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80" w:type="dxa"/>
            <w:vAlign w:val="bottom"/>
          </w:tcPr>
          <w:p>
            <w:pPr>
              <w:ind w:left="40"/>
              <w:spacing w:after="0"/>
              <w:rPr>
                <w:sz w:val="20"/>
                <w:szCs w:val="20"/>
                <w:color w:val="auto"/>
              </w:rPr>
            </w:pPr>
            <w:r>
              <w:rPr>
                <w:rFonts w:ascii="Arial" w:cs="Arial" w:eastAsia="Arial" w:hAnsi="Arial"/>
                <w:sz w:val="14"/>
                <w:szCs w:val="14"/>
                <w:color w:val="auto"/>
              </w:rPr>
              <w:t>Purchases of common stock tendered</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480" w:type="dxa"/>
            <w:vAlign w:val="bottom"/>
          </w:tcPr>
          <w:p>
            <w:pPr>
              <w:ind w:left="40"/>
              <w:spacing w:after="0" w:line="147" w:lineRule="exact"/>
              <w:rPr>
                <w:sz w:val="20"/>
                <w:szCs w:val="20"/>
                <w:color w:val="auto"/>
              </w:rPr>
            </w:pPr>
            <w:r>
              <w:rPr>
                <w:rFonts w:ascii="Arial" w:cs="Arial" w:eastAsia="Arial" w:hAnsi="Arial"/>
                <w:sz w:val="14"/>
                <w:szCs w:val="14"/>
                <w:color w:val="auto"/>
              </w:rPr>
              <w:t>by employees to satisfy the required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480" w:type="dxa"/>
            <w:vAlign w:val="bottom"/>
          </w:tcPr>
          <w:p>
            <w:pPr>
              <w:ind w:left="40"/>
              <w:spacing w:after="0" w:line="133" w:lineRule="exact"/>
              <w:rPr>
                <w:sz w:val="20"/>
                <w:szCs w:val="20"/>
                <w:color w:val="auto"/>
              </w:rPr>
            </w:pPr>
            <w:r>
              <w:rPr>
                <w:rFonts w:ascii="Arial" w:cs="Arial" w:eastAsia="Arial" w:hAnsi="Arial"/>
                <w:sz w:val="14"/>
                <w:szCs w:val="14"/>
                <w:color w:val="auto"/>
              </w:rPr>
              <w:t>withholding taxes related to share-</w:t>
            </w:r>
          </w:p>
        </w:tc>
        <w:tc>
          <w:tcPr>
            <w:tcW w:w="80" w:type="dxa"/>
            <w:vAlign w:val="bottom"/>
          </w:tcPr>
          <w:p>
            <w:pPr>
              <w:spacing w:after="0"/>
              <w:rPr>
                <w:sz w:val="11"/>
                <w:szCs w:val="11"/>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6"/>
        </w:trPr>
        <w:tc>
          <w:tcPr>
            <w:tcW w:w="2480" w:type="dxa"/>
            <w:vAlign w:val="bottom"/>
          </w:tcPr>
          <w:p>
            <w:pPr>
              <w:ind w:left="40"/>
              <w:spacing w:after="0"/>
              <w:rPr>
                <w:sz w:val="20"/>
                <w:szCs w:val="20"/>
                <w:color w:val="auto"/>
              </w:rPr>
            </w:pPr>
            <w:r>
              <w:rPr>
                <w:rFonts w:ascii="Arial" w:cs="Arial" w:eastAsia="Arial" w:hAnsi="Arial"/>
                <w:sz w:val="14"/>
                <w:szCs w:val="14"/>
                <w:color w:val="auto"/>
              </w:rPr>
              <w:t>based payment awards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9"/>
        </w:trPr>
        <w:tc>
          <w:tcPr>
            <w:tcW w:w="2480" w:type="dxa"/>
            <w:vAlign w:val="bottom"/>
          </w:tcPr>
          <w:p>
            <w:pPr>
              <w:ind w:left="20"/>
              <w:spacing w:after="0"/>
              <w:rPr>
                <w:sz w:val="20"/>
                <w:szCs w:val="20"/>
                <w:color w:val="auto"/>
              </w:rPr>
            </w:pPr>
            <w:r>
              <w:rPr>
                <w:rFonts w:ascii="Arial" w:cs="Arial" w:eastAsia="Arial" w:hAnsi="Arial"/>
                <w:sz w:val="14"/>
                <w:szCs w:val="14"/>
                <w:color w:val="auto"/>
              </w:rPr>
              <w:t>Balance as of March 31, 2023</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62.1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188.2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1,976.7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(157.1)</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2,008.3</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2,014.0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7"/>
        </w:trPr>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 in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5"/>
                <w:szCs w:val="15"/>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World Fuel</w:t>
            </w:r>
          </w:p>
        </w:tc>
        <w:tc>
          <w:tcPr>
            <w:tcW w:w="12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vMerge w:val="restart"/>
          </w:tcPr>
          <w:p>
            <w:pPr>
              <w:spacing w:after="0" w:line="120" w:lineRule="exact"/>
              <w:rPr>
                <w:sz w:val="20"/>
                <w:szCs w:val="20"/>
                <w:color w:val="auto"/>
              </w:rPr>
            </w:pPr>
            <w:r>
              <w:rPr>
                <w:rFonts w:ascii="Arial" w:cs="Arial" w:eastAsia="Arial" w:hAnsi="Arial"/>
                <w:sz w:val="13"/>
                <w:szCs w:val="13"/>
                <w:b w:val="1"/>
                <w:bCs w:val="1"/>
                <w:color w:val="auto"/>
              </w:rPr>
              <w:t>Excess of</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3"/>
            <w:vMerge w:val="restart"/>
          </w:tcPr>
          <w:p>
            <w:pPr>
              <w:ind w:left="20"/>
              <w:spacing w:after="0" w:line="120" w:lineRule="exact"/>
              <w:rPr>
                <w:sz w:val="20"/>
                <w:szCs w:val="20"/>
                <w:color w:val="auto"/>
              </w:rPr>
            </w:pPr>
            <w:r>
              <w:rPr>
                <w:rFonts w:ascii="Arial" w:cs="Arial" w:eastAsia="Arial" w:hAnsi="Arial"/>
                <w:sz w:val="13"/>
                <w:szCs w:val="13"/>
                <w:b w:val="1"/>
                <w:bCs w:val="1"/>
                <w:color w:val="auto"/>
              </w:rPr>
              <w:t>Retained</w:t>
            </w: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3"/>
            <w:vMerge w:val="restart"/>
          </w:tcPr>
          <w:p>
            <w:pPr>
              <w:jc w:val="center"/>
              <w:ind w:right="220"/>
              <w:spacing w:after="0" w:line="120"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4"/>
                <w:szCs w:val="4"/>
                <w:color w:val="auto"/>
              </w:rPr>
            </w:pPr>
          </w:p>
        </w:tc>
        <w:tc>
          <w:tcPr>
            <w:tcW w:w="1220" w:type="dxa"/>
            <w:vAlign w:val="bottom"/>
            <w:gridSpan w:val="4"/>
            <w:vMerge w:val="restart"/>
          </w:tcPr>
          <w:p>
            <w:pPr>
              <w:jc w:val="center"/>
              <w:ind w:right="240"/>
              <w:spacing w:after="0" w:line="120" w:lineRule="exact"/>
              <w:rPr>
                <w:sz w:val="20"/>
                <w:szCs w:val="20"/>
                <w:color w:val="auto"/>
              </w:rPr>
            </w:pPr>
            <w:r>
              <w:rPr>
                <w:rFonts w:ascii="Arial" w:cs="Arial" w:eastAsia="Arial" w:hAnsi="Arial"/>
                <w:sz w:val="13"/>
                <w:szCs w:val="13"/>
                <w:b w:val="1"/>
                <w:bCs w:val="1"/>
                <w:color w:val="auto"/>
              </w:rPr>
              <w:t>Shareholders'</w:t>
            </w:r>
          </w:p>
        </w:tc>
        <w:tc>
          <w:tcPr>
            <w:tcW w:w="120" w:type="dxa"/>
            <w:vAlign w:val="bottom"/>
          </w:tcPr>
          <w:p>
            <w:pPr>
              <w:spacing w:after="0"/>
              <w:rPr>
                <w:sz w:val="4"/>
                <w:szCs w:val="4"/>
                <w:color w:val="auto"/>
              </w:rPr>
            </w:pPr>
          </w:p>
        </w:tc>
        <w:tc>
          <w:tcPr>
            <w:tcW w:w="1260" w:type="dxa"/>
            <w:vAlign w:val="bottom"/>
            <w:gridSpan w:val="2"/>
            <w:vMerge w:val="restart"/>
          </w:tcPr>
          <w:p>
            <w:pPr>
              <w:ind w:left="240"/>
              <w:spacing w:after="0" w:line="120" w:lineRule="exact"/>
              <w:rPr>
                <w:sz w:val="20"/>
                <w:szCs w:val="20"/>
                <w:color w:val="auto"/>
              </w:rPr>
            </w:pPr>
            <w:r>
              <w:rPr>
                <w:rFonts w:ascii="Arial" w:cs="Arial" w:eastAsia="Arial" w:hAnsi="Arial"/>
                <w:sz w:val="13"/>
                <w:szCs w:val="13"/>
                <w:b w:val="1"/>
                <w:bCs w:val="1"/>
                <w:color w:val="auto"/>
              </w:rPr>
              <w:t>Interest</w:t>
            </w:r>
          </w:p>
        </w:tc>
        <w:tc>
          <w:tcPr>
            <w:tcW w:w="160" w:type="dxa"/>
            <w:vAlign w:val="bottom"/>
          </w:tcPr>
          <w:p>
            <w:pPr>
              <w:spacing w:after="0"/>
              <w:rPr>
                <w:sz w:val="4"/>
                <w:szCs w:val="4"/>
                <w:color w:val="auto"/>
              </w:rPr>
            </w:pPr>
          </w:p>
        </w:tc>
        <w:tc>
          <w:tcPr>
            <w:tcW w:w="700" w:type="dxa"/>
            <w:vAlign w:val="bottom"/>
            <w:vMerge w:val="restart"/>
          </w:tcPr>
          <w:p>
            <w:pPr>
              <w:jc w:val="center"/>
              <w:ind w:right="49"/>
              <w:spacing w:after="0" w:line="120"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7"/>
        </w:trPr>
        <w:tc>
          <w:tcPr>
            <w:tcW w:w="2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4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4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Earnings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61.7</w:t>
            </w: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0.6</w:t>
            </w: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168.1</w:t>
            </w: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1,880.6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1,916.8</w:t>
            </w:r>
          </w:p>
        </w:tc>
        <w:tc>
          <w:tcPr>
            <w:tcW w:w="0" w:type="dxa"/>
            <w:vAlign w:val="bottom"/>
          </w:tcPr>
          <w:p>
            <w:pPr>
              <w:spacing w:after="0"/>
              <w:rPr>
                <w:sz w:val="1"/>
                <w:szCs w:val="1"/>
                <w:color w:val="auto"/>
              </w:rPr>
            </w:pPr>
          </w:p>
        </w:tc>
      </w:tr>
      <w:tr>
        <w:trPr>
          <w:trHeight w:val="194"/>
        </w:trPr>
        <w:tc>
          <w:tcPr>
            <w:tcW w:w="248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6"/>
                <w:szCs w:val="16"/>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06"/>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51"/>
        </w:trPr>
        <w:tc>
          <w:tcPr>
            <w:tcW w:w="2480" w:type="dxa"/>
            <w:vAlign w:val="bottom"/>
          </w:tcPr>
          <w:p>
            <w:pPr>
              <w:ind w:left="40"/>
              <w:spacing w:after="0" w:line="151" w:lineRule="exact"/>
              <w:rPr>
                <w:sz w:val="20"/>
                <w:szCs w:val="20"/>
                <w:color w:val="auto"/>
              </w:rPr>
            </w:pPr>
            <w:r>
              <w:rPr>
                <w:rFonts w:ascii="Arial" w:cs="Arial" w:eastAsia="Arial" w:hAnsi="Arial"/>
                <w:sz w:val="14"/>
                <w:szCs w:val="14"/>
                <w:color w:val="auto"/>
              </w:rPr>
              <w:t>Amortization of share-based payment</w:t>
            </w:r>
          </w:p>
        </w:tc>
        <w:tc>
          <w:tcPr>
            <w:tcW w:w="80" w:type="dxa"/>
            <w:vAlign w:val="bottom"/>
          </w:tcPr>
          <w:p>
            <w:pPr>
              <w:spacing w:after="0"/>
              <w:rPr>
                <w:sz w:val="13"/>
                <w:szCs w:val="13"/>
                <w:color w:val="auto"/>
              </w:rPr>
            </w:pPr>
          </w:p>
        </w:tc>
        <w:tc>
          <w:tcPr>
            <w:tcW w:w="72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6"/>
        </w:trPr>
        <w:tc>
          <w:tcPr>
            <w:tcW w:w="2480" w:type="dxa"/>
            <w:vAlign w:val="bottom"/>
          </w:tcPr>
          <w:p>
            <w:pPr>
              <w:ind w:left="40"/>
              <w:spacing w:after="0"/>
              <w:rPr>
                <w:sz w:val="20"/>
                <w:szCs w:val="20"/>
                <w:color w:val="auto"/>
              </w:rPr>
            </w:pPr>
            <w:r>
              <w:rPr>
                <w:rFonts w:ascii="Arial" w:cs="Arial" w:eastAsia="Arial" w:hAnsi="Arial"/>
                <w:sz w:val="14"/>
                <w:szCs w:val="14"/>
                <w:color w:val="auto"/>
              </w:rPr>
              <w:t>awards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4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Issuance (cancellation) of common</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8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stock related to share-based payment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2480" w:type="dxa"/>
            <w:vAlign w:val="bottom"/>
          </w:tcPr>
          <w:p>
            <w:pPr>
              <w:ind w:left="40"/>
              <w:spacing w:after="0" w:line="151" w:lineRule="exact"/>
              <w:rPr>
                <w:sz w:val="20"/>
                <w:szCs w:val="20"/>
                <w:color w:val="auto"/>
              </w:rPr>
            </w:pPr>
            <w:r>
              <w:rPr>
                <w:rFonts w:ascii="Arial" w:cs="Arial" w:eastAsia="Arial" w:hAnsi="Arial"/>
                <w:sz w:val="14"/>
                <w:szCs w:val="14"/>
                <w:color w:val="auto"/>
              </w:rPr>
              <w:t>Issuance of common stock for</w:t>
            </w:r>
          </w:p>
        </w:tc>
        <w:tc>
          <w:tcPr>
            <w:tcW w:w="76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76"/>
        </w:trPr>
        <w:tc>
          <w:tcPr>
            <w:tcW w:w="2480" w:type="dxa"/>
            <w:vAlign w:val="bottom"/>
          </w:tcPr>
          <w:p>
            <w:pPr>
              <w:ind w:left="40"/>
              <w:spacing w:after="0"/>
              <w:rPr>
                <w:sz w:val="20"/>
                <w:szCs w:val="20"/>
                <w:color w:val="auto"/>
              </w:rPr>
            </w:pPr>
            <w:r>
              <w:rPr>
                <w:rFonts w:ascii="Arial" w:cs="Arial" w:eastAsia="Arial" w:hAnsi="Arial"/>
                <w:sz w:val="14"/>
                <w:szCs w:val="14"/>
                <w:color w:val="auto"/>
              </w:rPr>
              <w:t>acquisition of a business</w:t>
            </w:r>
          </w:p>
        </w:tc>
        <w:tc>
          <w:tcPr>
            <w:tcW w:w="7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4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Purchases of common stock tendered</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8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by employees to satisfy the required</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48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withholding taxes related to share-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based payment awards</w:t>
            </w:r>
          </w:p>
        </w:tc>
        <w:tc>
          <w:tcPr>
            <w:tcW w:w="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4"/>
        </w:trPr>
        <w:tc>
          <w:tcPr>
            <w:tcW w:w="2480" w:type="dxa"/>
            <w:vAlign w:val="bottom"/>
          </w:tcPr>
          <w:p>
            <w:pPr>
              <w:ind w:left="40"/>
              <w:spacing w:after="0"/>
              <w:rPr>
                <w:sz w:val="20"/>
                <w:szCs w:val="20"/>
                <w:color w:val="auto"/>
              </w:rPr>
            </w:pPr>
            <w:r>
              <w:rPr>
                <w:rFonts w:ascii="Arial" w:cs="Arial" w:eastAsia="Arial" w:hAnsi="Arial"/>
                <w:sz w:val="14"/>
                <w:szCs w:val="14"/>
                <w:color w:val="auto"/>
              </w:rPr>
              <w:t>Purchases of common stock</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(13.7)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99"/>
        </w:trPr>
        <w:tc>
          <w:tcPr>
            <w:tcW w:w="2480" w:type="dxa"/>
            <w:vAlign w:val="bottom"/>
          </w:tcPr>
          <w:p>
            <w:pPr>
              <w:ind w:left="20"/>
              <w:spacing w:after="0"/>
              <w:rPr>
                <w:sz w:val="20"/>
                <w:szCs w:val="20"/>
                <w:color w:val="auto"/>
              </w:rPr>
            </w:pPr>
            <w:r>
              <w:rPr>
                <w:rFonts w:ascii="Arial" w:cs="Arial" w:eastAsia="Arial" w:hAnsi="Arial"/>
                <w:sz w:val="14"/>
                <w:szCs w:val="14"/>
                <w:color w:val="auto"/>
              </w:rPr>
              <w:t>Balance as of March 31, 2022</w:t>
            </w: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63.0</w:t>
            </w:r>
          </w:p>
        </w:tc>
        <w:tc>
          <w:tcPr>
            <w:tcW w:w="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206.7</w:t>
            </w:r>
          </w:p>
        </w:tc>
        <w:tc>
          <w:tcPr>
            <w:tcW w:w="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1,899.4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(165.4)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1,941.4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1,945.5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color w:val="auto"/>
        </w:rPr>
        <w:t>WORLD FUEL SERVICES CORPORATION</w:t>
      </w:r>
    </w:p>
    <w:p>
      <w:pPr>
        <w:spacing w:after="0" w:line="38" w:lineRule="exact"/>
        <w:rPr>
          <w:sz w:val="20"/>
          <w:szCs w:val="20"/>
          <w:color w:val="auto"/>
        </w:rPr>
      </w:pPr>
    </w:p>
    <w:p>
      <w:pPr>
        <w:ind w:right="4800"/>
        <w:spacing w:after="0" w:line="263" w:lineRule="auto"/>
        <w:rPr>
          <w:sz w:val="20"/>
          <w:szCs w:val="20"/>
          <w:color w:val="auto"/>
        </w:rPr>
      </w:pPr>
      <w:r>
        <w:rPr>
          <w:rFonts w:ascii="Arial" w:cs="Arial" w:eastAsia="Arial" w:hAnsi="Arial"/>
          <w:sz w:val="21"/>
          <w:szCs w:val="21"/>
          <w:b w:val="1"/>
          <w:bCs w:val="1"/>
          <w:color w:val="auto"/>
        </w:rPr>
        <w:t xml:space="preserve">CONDENSED CONSOLIDATED STATEMENTS OF CASH FLOWS </w:t>
      </w:r>
      <w:r>
        <w:rPr>
          <w:rFonts w:ascii="Arial" w:cs="Arial" w:eastAsia="Arial" w:hAnsi="Arial"/>
          <w:sz w:val="21"/>
          <w:szCs w:val="21"/>
          <w:color w:val="auto"/>
        </w:rPr>
        <w:t>(Unaudited -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60" w:type="dxa"/>
            <w:vAlign w:val="bottom"/>
          </w:tcPr>
          <w:p>
            <w:pPr>
              <w:spacing w:after="0"/>
              <w:rPr>
                <w:sz w:val="20"/>
                <w:szCs w:val="20"/>
                <w:color w:val="auto"/>
              </w:rPr>
            </w:pPr>
          </w:p>
        </w:tc>
        <w:tc>
          <w:tcPr>
            <w:tcW w:w="4180" w:type="dxa"/>
            <w:vAlign w:val="bottom"/>
            <w:tcBorders>
              <w:bottom w:val="single" w:sz="8" w:color="auto"/>
            </w:tcBorders>
            <w:gridSpan w:val="5"/>
          </w:tcPr>
          <w:p>
            <w:pPr>
              <w:jc w:val="right"/>
              <w:ind w:right="371"/>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21"/>
        </w:trPr>
        <w:tc>
          <w:tcPr>
            <w:tcW w:w="70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b w:val="1"/>
                <w:bCs w:val="1"/>
                <w:color w:val="auto"/>
              </w:rPr>
              <w:t>2022</w:t>
            </w:r>
          </w:p>
        </w:tc>
      </w:tr>
      <w:tr>
        <w:trPr>
          <w:trHeight w:val="22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6"/>
        </w:trPr>
        <w:tc>
          <w:tcPr>
            <w:tcW w:w="7060" w:type="dxa"/>
            <w:vAlign w:val="bottom"/>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240" w:type="dxa"/>
            <w:vAlign w:val="bottom"/>
          </w:tcPr>
          <w:p>
            <w:pPr>
              <w:jc w:val="right"/>
              <w:ind w:right="105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187"/>
        </w:trPr>
        <w:tc>
          <w:tcPr>
            <w:tcW w:w="7060" w:type="dxa"/>
            <w:vAlign w:val="bottom"/>
            <w:shd w:val="clear" w:color="auto" w:fill="CCEEFF"/>
          </w:tcPr>
          <w:p>
            <w:pPr>
              <w:ind w:left="140"/>
              <w:spacing w:after="0" w:line="187" w:lineRule="exact"/>
              <w:rPr>
                <w:sz w:val="20"/>
                <w:szCs w:val="20"/>
                <w:color w:val="auto"/>
              </w:rPr>
            </w:pPr>
            <w:r>
              <w:rPr>
                <w:rFonts w:ascii="Arial" w:cs="Arial" w:eastAsia="Arial" w:hAnsi="Arial"/>
                <w:sz w:val="18"/>
                <w:szCs w:val="18"/>
                <w:color w:val="auto"/>
              </w:rPr>
              <w:t>Adjustments to reconcile net income including noncontrolling interest to net cash</w:t>
            </w:r>
          </w:p>
        </w:tc>
        <w:tc>
          <w:tcPr>
            <w:tcW w:w="1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28"/>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provided by operating activities: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6"/>
        </w:trPr>
        <w:tc>
          <w:tcPr>
            <w:tcW w:w="7060" w:type="dxa"/>
            <w:vAlign w:val="bottom"/>
          </w:tcPr>
          <w:p>
            <w:pPr>
              <w:ind w:left="240"/>
              <w:spacing w:after="0"/>
              <w:rPr>
                <w:sz w:val="20"/>
                <w:szCs w:val="20"/>
                <w:color w:val="auto"/>
              </w:rPr>
            </w:pPr>
            <w:r>
              <w:rPr>
                <w:rFonts w:ascii="Arial" w:cs="Arial" w:eastAsia="Arial" w:hAnsi="Arial"/>
                <w:sz w:val="18"/>
                <w:szCs w:val="18"/>
                <w:color w:val="auto"/>
              </w:rPr>
              <w:t>Unrealized (gain) loss on derivatives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8"/>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6"/>
        </w:trPr>
        <w:tc>
          <w:tcPr>
            <w:tcW w:w="7060" w:type="dxa"/>
            <w:vAlign w:val="bottom"/>
          </w:tcPr>
          <w:p>
            <w:pPr>
              <w:ind w:left="240"/>
              <w:spacing w:after="0"/>
              <w:rPr>
                <w:sz w:val="20"/>
                <w:szCs w:val="20"/>
                <w:color w:val="auto"/>
              </w:rPr>
            </w:pPr>
            <w:r>
              <w:rPr>
                <w:rFonts w:ascii="Arial" w:cs="Arial" w:eastAsia="Arial" w:hAnsi="Arial"/>
                <w:sz w:val="18"/>
                <w:szCs w:val="18"/>
                <w:color w:val="auto"/>
              </w:rPr>
              <w:t>Provision for credit losses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8"/>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payment award compensation costs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6"/>
        </w:trPr>
        <w:tc>
          <w:tcPr>
            <w:tcW w:w="7060" w:type="dxa"/>
            <w:vAlign w:val="bottom"/>
          </w:tcPr>
          <w:p>
            <w:pPr>
              <w:ind w:left="240"/>
              <w:spacing w:after="0"/>
              <w:rPr>
                <w:sz w:val="20"/>
                <w:szCs w:val="20"/>
                <w:color w:val="auto"/>
              </w:rPr>
            </w:pPr>
            <w:r>
              <w:rPr>
                <w:rFonts w:ascii="Arial" w:cs="Arial" w:eastAsia="Arial" w:hAnsi="Arial"/>
                <w:sz w:val="18"/>
                <w:szCs w:val="18"/>
                <w:color w:val="auto"/>
              </w:rPr>
              <w:t>Deferred income tax expense (benefit)</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8"/>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foreign currency (gains) losses, net</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6"/>
        </w:trPr>
        <w:tc>
          <w:tcPr>
            <w:tcW w:w="7060" w:type="dxa"/>
            <w:vAlign w:val="bottom"/>
          </w:tcPr>
          <w:p>
            <w:pPr>
              <w:ind w:left="24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8"/>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 net of acquisitions and divestitures: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6"/>
        </w:trPr>
        <w:tc>
          <w:tcPr>
            <w:tcW w:w="706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(1,051.3)</w:t>
            </w:r>
          </w:p>
        </w:tc>
      </w:tr>
      <w:tr>
        <w:trPr>
          <w:trHeight w:val="228"/>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r>
      <w:tr>
        <w:trPr>
          <w:trHeight w:val="226"/>
        </w:trPr>
        <w:tc>
          <w:tcPr>
            <w:tcW w:w="706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8"/>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derivative assets, net</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r>
      <w:tr>
        <w:trPr>
          <w:trHeight w:val="226"/>
        </w:trPr>
        <w:tc>
          <w:tcPr>
            <w:tcW w:w="706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72.3</w:t>
            </w:r>
          </w:p>
        </w:tc>
      </w:tr>
      <w:tr>
        <w:trPr>
          <w:trHeight w:val="228"/>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collateral with counterparties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26"/>
        </w:trPr>
        <w:tc>
          <w:tcPr>
            <w:tcW w:w="7060" w:type="dxa"/>
            <w:vAlign w:val="bottom"/>
          </w:tcPr>
          <w:p>
            <w:pPr>
              <w:ind w:left="240"/>
              <w:spacing w:after="0"/>
              <w:rPr>
                <w:sz w:val="20"/>
                <w:szCs w:val="20"/>
                <w:color w:val="auto"/>
              </w:rPr>
            </w:pPr>
            <w:r>
              <w:rPr>
                <w:rFonts w:ascii="Arial" w:cs="Arial" w:eastAsia="Arial" w:hAnsi="Arial"/>
                <w:sz w:val="18"/>
                <w:szCs w:val="18"/>
                <w:color w:val="auto"/>
              </w:rPr>
              <w:t>Other non-current assets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(108.9)</w:t>
            </w:r>
          </w:p>
        </w:tc>
      </w:tr>
      <w:tr>
        <w:trPr>
          <w:trHeight w:val="228"/>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w:t>
            </w:r>
          </w:p>
        </w:tc>
      </w:tr>
      <w:tr>
        <w:trPr>
          <w:trHeight w:val="226"/>
        </w:trPr>
        <w:tc>
          <w:tcPr>
            <w:tcW w:w="7060" w:type="dxa"/>
            <w:vAlign w:val="bottom"/>
          </w:tcPr>
          <w:p>
            <w:pPr>
              <w:ind w:left="240"/>
              <w:spacing w:after="0"/>
              <w:rPr>
                <w:sz w:val="20"/>
                <w:szCs w:val="20"/>
                <w:color w:val="auto"/>
              </w:rPr>
            </w:pPr>
            <w:r>
              <w:rPr>
                <w:rFonts w:ascii="Arial" w:cs="Arial" w:eastAsia="Arial" w:hAnsi="Arial"/>
                <w:sz w:val="18"/>
                <w:szCs w:val="18"/>
                <w:color w:val="auto"/>
              </w:rPr>
              <w:t>Short-term derivative liabilities, net</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168.0</w:t>
            </w:r>
          </w:p>
        </w:tc>
      </w:tr>
      <w:tr>
        <w:trPr>
          <w:trHeight w:val="228"/>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6"/>
        </w:trPr>
        <w:tc>
          <w:tcPr>
            <w:tcW w:w="7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long-term liabilities</w:t>
            </w: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r>
      <w:tr>
        <w:trPr>
          <w:trHeight w:val="221"/>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1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flows from investing activities:</w:t>
            </w: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21"/>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Acquisition of business, net of cash acquired</w:t>
            </w:r>
          </w:p>
        </w:tc>
        <w:tc>
          <w:tcPr>
            <w:tcW w:w="1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w:t>
            </w:r>
          </w:p>
        </w:tc>
      </w:tr>
      <w:tr>
        <w:trPr>
          <w:trHeight w:val="226"/>
        </w:trPr>
        <w:tc>
          <w:tcPr>
            <w:tcW w:w="706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investing activities, net</w:t>
            </w: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(657.3)</w:t>
            </w:r>
          </w:p>
        </w:tc>
      </w:tr>
      <w:tr>
        <w:trPr>
          <w:trHeight w:val="221"/>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6"/>
        </w:trPr>
        <w:tc>
          <w:tcPr>
            <w:tcW w:w="7060" w:type="dxa"/>
            <w:vAlign w:val="bottom"/>
          </w:tcPr>
          <w:p>
            <w:pPr>
              <w:ind w:left="240"/>
              <w:spacing w:after="0"/>
              <w:rPr>
                <w:sz w:val="20"/>
                <w:szCs w:val="20"/>
                <w:color w:val="auto"/>
              </w:rPr>
            </w:pPr>
            <w:r>
              <w:rPr>
                <w:rFonts w:ascii="Arial" w:cs="Arial" w:eastAsia="Arial" w:hAnsi="Arial"/>
                <w:sz w:val="18"/>
                <w:szCs w:val="18"/>
                <w:color w:val="auto"/>
              </w:rPr>
              <w:t>Borrowings of debt</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2,101.0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1,745.8</w:t>
            </w:r>
          </w:p>
        </w:tc>
      </w:tr>
      <w:tr>
        <w:trPr>
          <w:trHeight w:val="228"/>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Repayments of debt</w:t>
            </w:r>
          </w:p>
        </w:tc>
        <w:tc>
          <w:tcPr>
            <w:tcW w:w="1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(1,369.7)</w:t>
            </w:r>
          </w:p>
        </w:tc>
      </w:tr>
      <w:tr>
        <w:trPr>
          <w:trHeight w:val="226"/>
        </w:trPr>
        <w:tc>
          <w:tcPr>
            <w:tcW w:w="7060" w:type="dxa"/>
            <w:vAlign w:val="bottom"/>
          </w:tcPr>
          <w:p>
            <w:pPr>
              <w:ind w:left="240"/>
              <w:spacing w:after="0"/>
              <w:rPr>
                <w:sz w:val="20"/>
                <w:szCs w:val="20"/>
                <w:color w:val="auto"/>
              </w:rPr>
            </w:pPr>
            <w:r>
              <w:rPr>
                <w:rFonts w:ascii="Arial" w:cs="Arial" w:eastAsia="Arial" w:hAnsi="Arial"/>
                <w:sz w:val="18"/>
                <w:szCs w:val="18"/>
                <w:color w:val="auto"/>
              </w:rPr>
              <w:t>Dividends paid on common stock</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8"/>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Repurchases of common stock</w:t>
            </w:r>
          </w:p>
        </w:tc>
        <w:tc>
          <w:tcPr>
            <w:tcW w:w="1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6"/>
        </w:trPr>
        <w:tc>
          <w:tcPr>
            <w:tcW w:w="7060" w:type="dxa"/>
            <w:vAlign w:val="bottom"/>
          </w:tcPr>
          <w:p>
            <w:pPr>
              <w:ind w:left="240"/>
              <w:spacing w:after="0"/>
              <w:rPr>
                <w:sz w:val="20"/>
                <w:szCs w:val="20"/>
                <w:color w:val="auto"/>
              </w:rPr>
            </w:pPr>
            <w:r>
              <w:rPr>
                <w:rFonts w:ascii="Arial" w:cs="Arial" w:eastAsia="Arial" w:hAnsi="Arial"/>
                <w:sz w:val="18"/>
                <w:szCs w:val="18"/>
                <w:color w:val="auto"/>
              </w:rPr>
              <w:t>Payments of deferred consideration for acquisitions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7"/>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financing activities, net</w:t>
            </w: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w:t>
            </w:r>
          </w:p>
        </w:tc>
      </w:tr>
      <w:tr>
        <w:trPr>
          <w:trHeight w:val="220"/>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0"/>
        </w:trPr>
        <w:tc>
          <w:tcPr>
            <w:tcW w:w="70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(386.0)</w:t>
            </w:r>
          </w:p>
        </w:tc>
      </w:tr>
      <w:tr>
        <w:trPr>
          <w:trHeight w:val="22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as of the beginning of the period</w:t>
            </w:r>
          </w:p>
        </w:tc>
        <w:tc>
          <w:tcPr>
            <w:tcW w:w="1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r>
      <w:tr>
        <w:trPr>
          <w:trHeight w:val="221"/>
        </w:trPr>
        <w:tc>
          <w:tcPr>
            <w:tcW w:w="7060" w:type="dxa"/>
            <w:vAlign w:val="bottom"/>
          </w:tcPr>
          <w:p>
            <w:pPr>
              <w:ind w:left="20"/>
              <w:spacing w:after="0"/>
              <w:rPr>
                <w:sz w:val="20"/>
                <w:szCs w:val="20"/>
                <w:color w:val="auto"/>
              </w:rPr>
            </w:pPr>
            <w:r>
              <w:rPr>
                <w:rFonts w:ascii="Arial" w:cs="Arial" w:eastAsia="Arial" w:hAnsi="Arial"/>
                <w:sz w:val="18"/>
                <w:szCs w:val="18"/>
                <w:color w:val="auto"/>
              </w:rPr>
              <w:t>Cash and cash equivalents, as of the end of the period</w:t>
            </w:r>
          </w:p>
        </w:tc>
        <w:tc>
          <w:tcPr>
            <w:tcW w:w="1240" w:type="dxa"/>
            <w:vAlign w:val="bottom"/>
            <w:tcBorders>
              <w:bottom w:val="single" w:sz="8" w:color="auto"/>
            </w:tcBorders>
          </w:tcPr>
          <w:p>
            <w:pPr>
              <w:jc w:val="right"/>
              <w:ind w:right="105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w:t>
            </w:r>
          </w:p>
        </w:tc>
      </w:tr>
      <w:tr>
        <w:trPr>
          <w:trHeight w:val="20"/>
        </w:trPr>
        <w:tc>
          <w:tcPr>
            <w:tcW w:w="70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6" w:name="page7"/>
    <w:bookmarkEnd w:id="6"/>
    <w:p>
      <w:pPr>
        <w:ind w:right="1020"/>
        <w:spacing w:after="0" w:line="261" w:lineRule="auto"/>
        <w:rPr>
          <w:sz w:val="20"/>
          <w:szCs w:val="20"/>
          <w:color w:val="auto"/>
        </w:rPr>
      </w:pPr>
      <w:r>
        <w:rPr>
          <w:rFonts w:ascii="Arial" w:cs="Arial" w:eastAsia="Arial" w:hAnsi="Arial"/>
          <w:sz w:val="21"/>
          <w:szCs w:val="21"/>
          <w:b w:val="1"/>
          <w:bCs w:val="1"/>
          <w:color w:val="auto"/>
        </w:rPr>
        <w:t>WORLD FUEL SERVICES CORPORATION NOTES TO THE CONDENSED CONSOLIDATED FINANCIAL STATEMENTS</w:t>
      </w:r>
    </w:p>
    <w:p>
      <w:pPr>
        <w:spacing w:after="0"/>
        <w:rPr>
          <w:sz w:val="20"/>
          <w:szCs w:val="20"/>
          <w:color w:val="auto"/>
        </w:rPr>
      </w:pPr>
      <w:r>
        <w:rPr>
          <w:rFonts w:ascii="Arial" w:cs="Arial" w:eastAsia="Arial" w:hAnsi="Arial"/>
          <w:sz w:val="18"/>
          <w:szCs w:val="18"/>
          <w:color w:val="auto"/>
        </w:rPr>
        <w:t>(Unaudited)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New Accounting Standards, and Significant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Quarterly Report on Form 10-Q ("10-Q Report") as "World Fuel," "we," "our" and "us."</w:t>
      </w:r>
    </w:p>
    <w:p>
      <w:pPr>
        <w:spacing w:after="0" w:line="9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are a leading global energy management company, offering a broad suite of energy advisory, management and fulfillment services, digital and other technology solutions, as well as sustainability products and services across the energy product spectrum. We are principally involved in providing energy procurement and related products and services to commercial and industrial customers in the aviation, land, and marine transportation industries. We have also expanded our product and service offerings to include energy advisory services, sustainability and renewable energy solutions, as well as supply fulfillment for natural gas and power.</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Condensed Consolidated Financial Statements and related Notes include our parent company and all subsidiaries where we exercise control, and include the operations of acquired businesses after the completion of their acquisition. The decision of whether or not to consolidate an entity requires consideration of majority voting interests, as well as effective economic or other control over the entity. The Condensed Consolidated Financial Statements are prepared in accordance with accounting principles generally accepted in the United States of America ("U.S. GAAP"), the instructions to Form 10-Q and Article 10 of Regulation S-X. Accordingly, they do not include all the information and footnotes required by U.S. GAAP for complete financial statements. However, except as disclosed herein, there has been no material change in the information disclosed in the Notes included in our 2022 Annual Report on Form 10-K ("2022 10-K Report"). All intercompany transactions among our businesses have been eliminated.</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 In our opinion, all adjustments necessary for a fair statement of the financial statements, which are of a normal and recurring nature, have been made for the interim periods reported. The information included in this 10-Q Report should be read in conjunction with the Consolidated Financial Statements and accompanying Notes included in our 2022 10-K Report. Certain amounts in the Condensed Consolidated Financial Statements and accompanying Notes may not add due to rounding; however, all percentages have been calculated using unrounded amounts. Certain prior period amounts have been reclassified to conform to the current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Accounting Standards</w:t>
      </w:r>
    </w:p>
    <w:p>
      <w:pPr>
        <w:spacing w:after="0" w:line="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Disclosure of Supplier Finance Program Obligations. </w:t>
      </w:r>
      <w:r>
        <w:rPr>
          <w:rFonts w:ascii="Arial" w:cs="Arial" w:eastAsia="Arial" w:hAnsi="Arial"/>
          <w:sz w:val="18"/>
          <w:szCs w:val="18"/>
          <w:color w:val="auto"/>
        </w:rPr>
        <w:t>In September 2022, Accounting Standards Update ("ASU") 2022-04 was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buyer in a supplier finance program to disclose the key terms of the program, outstanding confirmed amounts as of the end of the period, a rollforward of such amounts during each annual period, and a description of where in the financial statements outstanding amounts are presented. The amendments do not affect the recognition, measurement or financial statement presentation of supplier finance program obligations. The amendments are effective for fiscal years beginning after December 15, 2022, including interim periods within those fiscal years. The amendments should be applied retrospectively to each period in which a balance sheet is presented, except for the rollforward, which should be applied prospectively. Early adoption was permitted. The Company adopted ASU 2022-04 in the first quarter of 2023 and has included all relevant disclosures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 Finance Programs</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Under various supplier finance programs, we agree to pay counterparties engaged as paying agents the stated amount of confirmed invoices from our designated suppliers on the original maturity date of the invoices. Under certain of these arrangements, we may also pay fees for the supplier finance platform and related support.</w:t>
      </w:r>
    </w:p>
    <w:p>
      <w:pPr>
        <w:spacing w:after="0" w:line="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Outstanding obligations confirmed under our supplier finance programs were $194.1 million and $246.8 million as of March 31, 2023 and December 31, 2022, respectively, and are included in Accounts payable within our Condensed Consolidated Balance Sheets.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Accounting Standards Issued but Not Yet Adopted</w:t>
      </w:r>
    </w:p>
    <w:p>
      <w:pPr>
        <w:spacing w:after="0" w:line="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There are no recently issued accounting standards not yet adopted by us that are expected, upon adoption, to have a material impact on the Company’s Consolidated Financial Statements or processes.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There have been no significant changes in the Company's accounting policies from those disclosed in our 2022 10-K Report. The significant accounting policies we use for quarterly financial reporting are disclosed in Note 1. Basis of Presentation, New Accounting Standards, and Significant Accounting Policies of the accompanying Notes to the Consolidated Financial Statements included in our 2022 10-K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Credit Losses</w:t>
      </w:r>
    </w:p>
    <w:p>
      <w:pPr>
        <w:spacing w:after="0" w:line="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When we extend credit on an unsecured basis, our exposure to credit losses depends on the financial condition of our customers and macroeconomic factors beyond our control, such as global economic conditions or adverse impacts in the industries we serve, changes in oil prices and political instability.</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actively monitor and manage our credit exposure and work to respond to both changes in our customers' financial conditions and macroeconomic events. Based on the ongoing credit evaluations of our customers, we adjust credit limits based upon payment history and our customers' current creditworthiness. However, because we extend credit on an unsecured basis to most of our customers, there is a possibility that any accounts receivable not collected may ultimately need to be written off.</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had accounts receivable, net, of $3.0 billion and $3.3 billion and an allowance for expected credit losses, primarily related to accounts receivable, of $16.6 million and $17.3 million, as of March 31, 2023 and December 31, 2022, respectively. Changes to the expected credit loss provision during the three months ended March 31, 2023 include global economic outlook considerations as a result of the Company's assessment of reasonable and supportable forward-looking information. Based on an aging analysis as of March 31, 2023, 91% of our accounts receivable were outstanding less than 60 days.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expected credit losses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00" w:type="dxa"/>
            <w:vAlign w:val="bottom"/>
          </w:tcPr>
          <w:p>
            <w:pPr>
              <w:spacing w:after="0"/>
              <w:rPr>
                <w:sz w:val="20"/>
                <w:szCs w:val="20"/>
                <w:color w:val="auto"/>
              </w:rPr>
            </w:pPr>
          </w:p>
        </w:tc>
        <w:tc>
          <w:tcPr>
            <w:tcW w:w="3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560" w:type="dxa"/>
            <w:vAlign w:val="bottom"/>
            <w:tcBorders>
              <w:bottom w:val="single" w:sz="8" w:color="auto"/>
            </w:tcBorders>
          </w:tcPr>
          <w:p>
            <w:pPr>
              <w:spacing w:after="0"/>
              <w:rPr>
                <w:sz w:val="20"/>
                <w:szCs w:val="20"/>
                <w:color w:val="auto"/>
              </w:rPr>
            </w:pPr>
          </w:p>
        </w:tc>
      </w:tr>
      <w:tr>
        <w:trPr>
          <w:trHeight w:val="221"/>
        </w:trPr>
        <w:tc>
          <w:tcPr>
            <w:tcW w:w="67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r>
      <w:tr>
        <w:trPr>
          <w:trHeight w:val="22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540" w:type="dxa"/>
            <w:vAlign w:val="bottom"/>
            <w:shd w:val="clear" w:color="auto" w:fill="CCEEFF"/>
          </w:tcPr>
          <w:p>
            <w:pPr>
              <w:jc w:val="right"/>
              <w:ind w:right="133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43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26"/>
        </w:trPr>
        <w:tc>
          <w:tcPr>
            <w:tcW w:w="6700" w:type="dxa"/>
            <w:vAlign w:val="bottom"/>
          </w:tcPr>
          <w:p>
            <w:pPr>
              <w:ind w:left="20"/>
              <w:spacing w:after="0"/>
              <w:rPr>
                <w:sz w:val="20"/>
                <w:szCs w:val="20"/>
                <w:color w:val="auto"/>
              </w:rPr>
            </w:pPr>
            <w:r>
              <w:rPr>
                <w:rFonts w:ascii="Arial" w:cs="Arial" w:eastAsia="Arial" w:hAnsi="Arial"/>
                <w:sz w:val="18"/>
                <w:szCs w:val="18"/>
                <w:color w:val="auto"/>
              </w:rPr>
              <w:t>Charges to allowance for credit losses</w:t>
            </w:r>
          </w:p>
        </w:tc>
        <w:tc>
          <w:tcPr>
            <w:tcW w:w="1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uncollectible receivables</w:t>
            </w:r>
          </w:p>
        </w:tc>
        <w:tc>
          <w:tcPr>
            <w:tcW w:w="15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6"/>
        </w:trPr>
        <w:tc>
          <w:tcPr>
            <w:tcW w:w="6700" w:type="dxa"/>
            <w:vAlign w:val="bottom"/>
          </w:tcPr>
          <w:p>
            <w:pPr>
              <w:ind w:left="20"/>
              <w:spacing w:after="0"/>
              <w:rPr>
                <w:sz w:val="20"/>
                <w:szCs w:val="20"/>
                <w:color w:val="auto"/>
              </w:rPr>
            </w:pPr>
            <w:r>
              <w:rPr>
                <w:rFonts w:ascii="Arial" w:cs="Arial" w:eastAsia="Arial" w:hAnsi="Arial"/>
                <w:sz w:val="18"/>
                <w:szCs w:val="18"/>
                <w:color w:val="auto"/>
              </w:rPr>
              <w:t>Recoveries of credit losses</w:t>
            </w:r>
          </w:p>
        </w:tc>
        <w:tc>
          <w:tcPr>
            <w:tcW w:w="1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15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1"/>
        </w:trPr>
        <w:tc>
          <w:tcPr>
            <w:tcW w:w="6700" w:type="dxa"/>
            <w:vAlign w:val="bottom"/>
          </w:tcPr>
          <w:p>
            <w:pPr>
              <w:ind w:left="20"/>
              <w:spacing w:after="0"/>
              <w:rPr>
                <w:sz w:val="20"/>
                <w:szCs w:val="20"/>
                <w:color w:val="auto"/>
              </w:rPr>
            </w:pPr>
            <w:r>
              <w:rPr>
                <w:rFonts w:ascii="Arial" w:cs="Arial" w:eastAsia="Arial" w:hAnsi="Arial"/>
                <w:sz w:val="18"/>
                <w:szCs w:val="18"/>
                <w:color w:val="auto"/>
              </w:rPr>
              <w:t>Balance as of March 31,</w:t>
            </w:r>
          </w:p>
        </w:tc>
        <w:tc>
          <w:tcPr>
            <w:tcW w:w="1540" w:type="dxa"/>
            <w:vAlign w:val="bottom"/>
            <w:tcBorders>
              <w:top w:val="single" w:sz="8" w:color="auto"/>
              <w:bottom w:val="single" w:sz="8" w:color="auto"/>
            </w:tcBorders>
          </w:tcPr>
          <w:p>
            <w:pPr>
              <w:jc w:val="right"/>
              <w:ind w:right="1331"/>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ind w:right="1431"/>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0"/>
        </w:trPr>
        <w:tc>
          <w:tcPr>
            <w:tcW w:w="67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Agreements</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receivable purchase agreements ("RPAs") that allow for the sale of our qualifying accounts receivable in exchange for cash consideration equal to the total balance, less a discount margin, depending on the outstanding accounts receivable at any given time. Accounts receivable sold under the RPAs are accounted for as sales and excluded from Accounts receivable, net of allowance for credit losses on the accompanying Condensed Consolidated Balance Sheets. Fees paid under the RPAs are recorded within Interest expense and other financing costs, net on the Condensed Consolidated Statements of Income and Comprehensive Income</w:t>
      </w:r>
      <w:r>
        <w:rPr>
          <w:rFonts w:ascii="Arial" w:cs="Arial" w:eastAsia="Arial" w:hAnsi="Arial"/>
          <w:sz w:val="14"/>
          <w:szCs w:val="14"/>
          <w:color w:val="auto"/>
        </w:rPr>
        <w:t>.</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March 31, 2023 and 2022, we sold receivables under the RPAs with an aggregate face value of $3.0 billion and $2.6 billion, respectively, and recognized fees of $11.7 million and $5.5 million,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Acquisitions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Acquisition</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first quarter of 2022, we completed the acquisition of Flyers Energy Group, LLC ("Flyers"). Flyers' operations include transportation, commercial fleet fueling, lubricants distribution, and the supply of wholesale, branded and renewable fuels. The total purchase price of $795.0 million included deferred payments totaling $100.0 million. In January 2023, $50 million was paid to the seller and the remaining $50 million outstanding as of March 31, 2023 is expected to be settled in January 2024.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are exposed to a variety of risks including but not limited to, changes in the prices of commodities that we buy or sell, changes in foreign currency exchange rates, changes in interest rates, and the creditworthiness of each of our counterparties. While we attempt to mitigate these fluctuations through hedging, such hedges may not be fully effective.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Our risk management program includes the following types of derivative instruments: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Derivative contracts we hold to hedge the risk of changes in the price of our inventory.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Derivative contracts we execute to mitigate the risk of price and interest rate volatility in forecasted transactions.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Derivatives we primarily transact to mitigate the risk of market price fluctuations in swaps or futures contracts,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certain forward fixed price purchase and sale contracts to hedge the risk of currency rate fluctuations and for portfolio optimization.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gross notional values of our derivative contracts used for risk management purposes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80" w:type="dxa"/>
            <w:vAlign w:val="bottom"/>
          </w:tcPr>
          <w:p>
            <w:pPr>
              <w:spacing w:after="0"/>
              <w:rPr>
                <w:sz w:val="20"/>
                <w:szCs w:val="20"/>
                <w:color w:val="auto"/>
              </w:rPr>
            </w:pPr>
          </w:p>
        </w:tc>
        <w:tc>
          <w:tcPr>
            <w:tcW w:w="1900" w:type="dxa"/>
            <w:vAlign w:val="bottom"/>
            <w:gridSpan w:val="2"/>
          </w:tcPr>
          <w:p>
            <w:pPr>
              <w:ind w:left="700"/>
              <w:spacing w:after="0"/>
              <w:rPr>
                <w:sz w:val="20"/>
                <w:szCs w:val="20"/>
                <w:color w:val="auto"/>
              </w:rPr>
            </w:pPr>
            <w:r>
              <w:rPr>
                <w:rFonts w:ascii="Arial" w:cs="Arial" w:eastAsia="Arial" w:hAnsi="Arial"/>
                <w:sz w:val="18"/>
                <w:szCs w:val="18"/>
                <w:b w:val="1"/>
                <w:bCs w:val="1"/>
                <w:color w:val="333333"/>
              </w:rPr>
              <w:t>Unit</w:t>
            </w:r>
          </w:p>
        </w:tc>
        <w:tc>
          <w:tcPr>
            <w:tcW w:w="2260" w:type="dxa"/>
            <w:vAlign w:val="bottom"/>
          </w:tcPr>
          <w:p>
            <w:pPr>
              <w:jc w:val="right"/>
              <w:ind w:right="411"/>
              <w:spacing w:after="0"/>
              <w:rPr>
                <w:sz w:val="20"/>
                <w:szCs w:val="20"/>
                <w:color w:val="auto"/>
              </w:rPr>
            </w:pPr>
            <w:r>
              <w:rPr>
                <w:rFonts w:ascii="Arial" w:cs="Arial" w:eastAsia="Arial" w:hAnsi="Arial"/>
                <w:sz w:val="18"/>
                <w:szCs w:val="18"/>
                <w:b w:val="1"/>
                <w:bCs w:val="1"/>
                <w:color w:val="auto"/>
              </w:rPr>
              <w:t>March 31, 2023</w:t>
            </w:r>
          </w:p>
        </w:tc>
      </w:tr>
      <w:tr>
        <w:trPr>
          <w:trHeight w:val="208"/>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1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r>
      <w:tr>
        <w:trPr>
          <w:trHeight w:val="226"/>
        </w:trPr>
        <w:tc>
          <w:tcPr>
            <w:tcW w:w="7080" w:type="dxa"/>
            <w:vAlign w:val="bottom"/>
          </w:tcPr>
          <w:p>
            <w:pPr>
              <w:ind w:left="20"/>
              <w:spacing w:after="0"/>
              <w:rPr>
                <w:sz w:val="20"/>
                <w:szCs w:val="20"/>
                <w:color w:val="auto"/>
              </w:rPr>
            </w:pPr>
            <w:r>
              <w:rPr>
                <w:rFonts w:ascii="Arial" w:cs="Arial" w:eastAsia="Arial" w:hAnsi="Arial"/>
                <w:sz w:val="18"/>
                <w:szCs w:val="18"/>
                <w:color w:val="auto"/>
              </w:rPr>
              <w:t>Long</w:t>
            </w:r>
          </w:p>
        </w:tc>
        <w:tc>
          <w:tcPr>
            <w:tcW w:w="1900" w:type="dxa"/>
            <w:vAlign w:val="bottom"/>
            <w:gridSpan w:val="2"/>
          </w:tcPr>
          <w:p>
            <w:pPr>
              <w:ind w:left="720"/>
              <w:spacing w:after="0"/>
              <w:rPr>
                <w:sz w:val="20"/>
                <w:szCs w:val="20"/>
                <w:color w:val="auto"/>
              </w:rPr>
            </w:pPr>
            <w:r>
              <w:rPr>
                <w:rFonts w:ascii="Arial" w:cs="Arial" w:eastAsia="Arial" w:hAnsi="Arial"/>
                <w:sz w:val="18"/>
                <w:szCs w:val="18"/>
                <w:color w:val="auto"/>
              </w:rPr>
              <w:t>BBL</w:t>
            </w:r>
          </w:p>
        </w:tc>
        <w:tc>
          <w:tcPr>
            <w:tcW w:w="226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28"/>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BBL</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67"/>
        </w:trPr>
        <w:tc>
          <w:tcPr>
            <w:tcW w:w="70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227"/>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exchange contracts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26"/>
        </w:trPr>
        <w:tc>
          <w:tcPr>
            <w:tcW w:w="7080" w:type="dxa"/>
            <w:vAlign w:val="bottom"/>
          </w:tcPr>
          <w:p>
            <w:pPr>
              <w:ind w:left="20"/>
              <w:spacing w:after="0"/>
              <w:rPr>
                <w:sz w:val="20"/>
                <w:szCs w:val="20"/>
                <w:color w:val="auto"/>
              </w:rPr>
            </w:pPr>
            <w:r>
              <w:rPr>
                <w:rFonts w:ascii="Arial" w:cs="Arial" w:eastAsia="Arial" w:hAnsi="Arial"/>
                <w:sz w:val="18"/>
                <w:szCs w:val="18"/>
                <w:color w:val="auto"/>
              </w:rPr>
              <w:t>Sell U.S. dollar, buy other currencies</w:t>
            </w:r>
          </w:p>
        </w:tc>
        <w:tc>
          <w:tcPr>
            <w:tcW w:w="1900" w:type="dxa"/>
            <w:vAlign w:val="bottom"/>
            <w:gridSpan w:val="2"/>
          </w:tcPr>
          <w:p>
            <w:pPr>
              <w:ind w:left="700"/>
              <w:spacing w:after="0"/>
              <w:rPr>
                <w:sz w:val="20"/>
                <w:szCs w:val="20"/>
                <w:color w:val="auto"/>
              </w:rPr>
            </w:pPr>
            <w:r>
              <w:rPr>
                <w:rFonts w:ascii="Arial" w:cs="Arial" w:eastAsia="Arial" w:hAnsi="Arial"/>
                <w:sz w:val="18"/>
                <w:szCs w:val="18"/>
                <w:color w:val="auto"/>
              </w:rPr>
              <w:t>USD</w:t>
            </w:r>
          </w:p>
        </w:tc>
        <w:tc>
          <w:tcPr>
            <w:tcW w:w="2260" w:type="dxa"/>
            <w:vAlign w:val="bottom"/>
          </w:tcPr>
          <w:p>
            <w:pPr>
              <w:jc w:val="right"/>
              <w:spacing w:after="0"/>
              <w:rPr>
                <w:sz w:val="20"/>
                <w:szCs w:val="20"/>
                <w:color w:val="auto"/>
              </w:rPr>
            </w:pPr>
            <w:r>
              <w:rPr>
                <w:rFonts w:ascii="Arial" w:cs="Arial" w:eastAsia="Arial" w:hAnsi="Arial"/>
                <w:sz w:val="18"/>
                <w:szCs w:val="18"/>
                <w:color w:val="auto"/>
              </w:rPr>
              <w:t>(718.8)</w:t>
            </w:r>
          </w:p>
        </w:tc>
      </w:tr>
      <w:tr>
        <w:trPr>
          <w:trHeight w:val="228"/>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U.S. dollar, sell other currencies</w:t>
            </w:r>
          </w:p>
        </w:tc>
        <w:tc>
          <w:tcPr>
            <w:tcW w:w="1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USD</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w:t>
            </w:r>
          </w:p>
        </w:tc>
      </w:tr>
      <w:tr>
        <w:trPr>
          <w:trHeight w:val="267"/>
        </w:trPr>
        <w:tc>
          <w:tcPr>
            <w:tcW w:w="70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227"/>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25"/>
        </w:trPr>
        <w:tc>
          <w:tcPr>
            <w:tcW w:w="708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1900" w:type="dxa"/>
            <w:vAlign w:val="bottom"/>
            <w:gridSpan w:val="2"/>
          </w:tcPr>
          <w:p>
            <w:pPr>
              <w:ind w:left="700"/>
              <w:spacing w:after="0"/>
              <w:rPr>
                <w:sz w:val="20"/>
                <w:szCs w:val="20"/>
                <w:color w:val="auto"/>
              </w:rPr>
            </w:pPr>
            <w:r>
              <w:rPr>
                <w:rFonts w:ascii="Arial" w:cs="Arial" w:eastAsia="Arial" w:hAnsi="Arial"/>
                <w:sz w:val="18"/>
                <w:szCs w:val="18"/>
                <w:color w:val="auto"/>
              </w:rPr>
              <w:t>USD</w:t>
            </w:r>
          </w:p>
        </w:tc>
        <w:tc>
          <w:tcPr>
            <w:tcW w:w="2260" w:type="dxa"/>
            <w:vAlign w:val="bottom"/>
          </w:tcPr>
          <w:p>
            <w:pPr>
              <w:jc w:val="right"/>
              <w:spacing w:after="0"/>
              <w:rPr>
                <w:sz w:val="20"/>
                <w:szCs w:val="20"/>
                <w:color w:val="auto"/>
              </w:rPr>
            </w:pPr>
            <w:r>
              <w:rPr>
                <w:rFonts w:ascii="Arial" w:cs="Arial" w:eastAsia="Arial" w:hAnsi="Arial"/>
                <w:sz w:val="18"/>
                <w:szCs w:val="18"/>
                <w:color w:val="auto"/>
              </w:rPr>
              <w:t>300.0</w:t>
            </w:r>
          </w:p>
        </w:tc>
      </w:tr>
    </w:tbl>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the majority of our foreign currency exchange contracts and the volume related to our commodities contracts are expected to settle within the next year, our interest rate swap agreement matures in March 2025.</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Assets and Liabilities</w:t>
      </w:r>
    </w:p>
    <w:p>
      <w:pPr>
        <w:spacing w:after="0" w:line="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presents the gross fair value of our derivative instruments and their locations on the Condensed Consolidated Balance Sheets (in millions):</w:t>
      </w:r>
    </w:p>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193"/>
        </w:trPr>
        <w:tc>
          <w:tcPr>
            <w:tcW w:w="20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Gross Derivative Assets</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89"/>
              <w:spacing w:after="0"/>
              <w:rPr>
                <w:sz w:val="20"/>
                <w:szCs w:val="20"/>
                <w:color w:val="auto"/>
              </w:rPr>
            </w:pPr>
            <w:r>
              <w:rPr>
                <w:rFonts w:ascii="Arial" w:cs="Arial" w:eastAsia="Arial" w:hAnsi="Arial"/>
                <w:sz w:val="14"/>
                <w:szCs w:val="14"/>
                <w:b w:val="1"/>
                <w:bCs w:val="1"/>
                <w:color w:val="auto"/>
              </w:rPr>
              <w:t>Gross Derivative Liabilities</w:t>
            </w:r>
          </w:p>
        </w:tc>
        <w:tc>
          <w:tcPr>
            <w:tcW w:w="0" w:type="dxa"/>
            <w:vAlign w:val="bottom"/>
          </w:tcPr>
          <w:p>
            <w:pPr>
              <w:spacing w:after="0"/>
              <w:rPr>
                <w:sz w:val="1"/>
                <w:szCs w:val="1"/>
                <w:color w:val="auto"/>
              </w:rPr>
            </w:pPr>
          </w:p>
        </w:tc>
      </w:tr>
      <w:tr>
        <w:trPr>
          <w:trHeight w:val="174"/>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3420" w:type="dxa"/>
            <w:vAlign w:val="bottom"/>
            <w:gridSpan w:val="2"/>
          </w:tcPr>
          <w:p>
            <w:pPr>
              <w:ind w:left="300"/>
              <w:spacing w:after="0"/>
              <w:rPr>
                <w:sz w:val="20"/>
                <w:szCs w:val="20"/>
                <w:color w:val="auto"/>
              </w:rPr>
            </w:pPr>
            <w:r>
              <w:rPr>
                <w:rFonts w:ascii="Arial" w:cs="Arial" w:eastAsia="Arial" w:hAnsi="Arial"/>
                <w:sz w:val="14"/>
                <w:szCs w:val="14"/>
                <w:b w:val="1"/>
                <w:bCs w:val="1"/>
                <w:color w:val="auto"/>
              </w:rPr>
              <w:t>Condensed Consolidated Balance Sheets</w:t>
            </w:r>
          </w:p>
        </w:tc>
        <w:tc>
          <w:tcPr>
            <w:tcW w:w="120" w:type="dxa"/>
            <w:vAlign w:val="bottom"/>
          </w:tcPr>
          <w:p>
            <w:pPr>
              <w:spacing w:after="0"/>
              <w:rPr>
                <w:sz w:val="15"/>
                <w:szCs w:val="15"/>
                <w:color w:val="auto"/>
              </w:rPr>
            </w:pPr>
          </w:p>
        </w:tc>
        <w:tc>
          <w:tcPr>
            <w:tcW w:w="120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vMerge w:val="restart"/>
          </w:tcPr>
          <w:p>
            <w:pPr>
              <w:spacing w:after="0"/>
              <w:rPr>
                <w:sz w:val="15"/>
                <w:szCs w:val="15"/>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vMerge w:val="restart"/>
          </w:tcPr>
          <w:p>
            <w:pPr>
              <w:spacing w:after="0"/>
              <w:rPr>
                <w:sz w:val="15"/>
                <w:szCs w:val="15"/>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7"/>
        </w:trPr>
        <w:tc>
          <w:tcPr>
            <w:tcW w:w="2000" w:type="dxa"/>
            <w:vAlign w:val="bottom"/>
            <w:tcBorders>
              <w:bottom w:val="single" w:sz="8" w:color="auto"/>
            </w:tcBorders>
            <w:vMerge w:val="continue"/>
          </w:tcPr>
          <w:p>
            <w:pPr>
              <w:spacing w:after="0"/>
              <w:rPr>
                <w:sz w:val="16"/>
                <w:szCs w:val="16"/>
                <w:color w:val="auto"/>
              </w:rPr>
            </w:pPr>
          </w:p>
        </w:tc>
        <w:tc>
          <w:tcPr>
            <w:tcW w:w="33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2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34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Short-term derivative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3420" w:type="dxa"/>
            <w:vAlign w:val="bottom"/>
            <w:gridSpan w:val="2"/>
          </w:tcPr>
          <w:p>
            <w:pPr>
              <w:ind w:left="300"/>
              <w:spacing w:after="0"/>
              <w:rPr>
                <w:sz w:val="20"/>
                <w:szCs w:val="20"/>
                <w:color w:val="auto"/>
              </w:rPr>
            </w:pPr>
            <w:r>
              <w:rPr>
                <w:rFonts w:ascii="Arial" w:cs="Arial" w:eastAsia="Arial" w:hAnsi="Arial"/>
                <w:sz w:val="14"/>
                <w:szCs w:val="14"/>
                <w:color w:val="auto"/>
              </w:rPr>
              <w:t>Short-term derivative liabilities, net</w:t>
            </w:r>
          </w:p>
        </w:tc>
        <w:tc>
          <w:tcPr>
            <w:tcW w:w="12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3"/>
        </w:trPr>
        <w:tc>
          <w:tcPr>
            <w:tcW w:w="2000" w:type="dxa"/>
            <w:vAlign w:val="bottom"/>
            <w:shd w:val="clear" w:color="auto" w:fill="CCEEFF"/>
          </w:tcPr>
          <w:p>
            <w:pPr>
              <w:spacing w:after="0"/>
              <w:rPr>
                <w:sz w:val="23"/>
                <w:szCs w:val="23"/>
                <w:color w:val="auto"/>
              </w:rPr>
            </w:pPr>
          </w:p>
        </w:tc>
        <w:tc>
          <w:tcPr>
            <w:tcW w:w="3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0" w:type="dxa"/>
            <w:vAlign w:val="bottom"/>
          </w:tcPr>
          <w:p>
            <w:pPr>
              <w:ind w:left="20"/>
              <w:spacing w:after="0"/>
              <w:rPr>
                <w:sz w:val="20"/>
                <w:szCs w:val="20"/>
                <w:color w:val="auto"/>
              </w:rPr>
            </w:pPr>
            <w:r>
              <w:rPr>
                <w:rFonts w:ascii="Arial" w:cs="Arial" w:eastAsia="Arial" w:hAnsi="Arial"/>
                <w:sz w:val="14"/>
                <w:szCs w:val="14"/>
                <w:color w:val="auto"/>
              </w:rPr>
              <w:t>Interest rate contracts</w:t>
            </w:r>
          </w:p>
        </w:tc>
        <w:tc>
          <w:tcPr>
            <w:tcW w:w="3420" w:type="dxa"/>
            <w:vAlign w:val="bottom"/>
            <w:gridSpan w:val="2"/>
          </w:tcPr>
          <w:p>
            <w:pPr>
              <w:ind w:left="300"/>
              <w:spacing w:after="0"/>
              <w:rPr>
                <w:sz w:val="20"/>
                <w:szCs w:val="20"/>
                <w:color w:val="auto"/>
              </w:rPr>
            </w:pPr>
            <w:r>
              <w:rPr>
                <w:rFonts w:ascii="Arial" w:cs="Arial" w:eastAsia="Arial" w:hAnsi="Arial"/>
                <w:sz w:val="14"/>
                <w:szCs w:val="14"/>
                <w:color w:val="auto"/>
              </w:rPr>
              <w:t>Short-term derivative assets, net</w:t>
            </w:r>
          </w:p>
        </w:tc>
        <w:tc>
          <w:tcPr>
            <w:tcW w:w="12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Other non-current assets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54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1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23.4</w:t>
            </w:r>
          </w:p>
        </w:tc>
        <w:tc>
          <w:tcPr>
            <w:tcW w:w="120" w:type="dxa"/>
            <w:vAlign w:val="bottom"/>
            <w:tcBorders>
              <w:bottom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1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4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53"/>
        </w:trPr>
        <w:tc>
          <w:tcPr>
            <w:tcW w:w="200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42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34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Short-term derivative assets, net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454.5</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182.9</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3420" w:type="dxa"/>
            <w:vAlign w:val="bottom"/>
            <w:gridSpan w:val="2"/>
          </w:tcPr>
          <w:p>
            <w:pPr>
              <w:ind w:left="300"/>
              <w:spacing w:after="0"/>
              <w:rPr>
                <w:sz w:val="20"/>
                <w:szCs w:val="20"/>
                <w:color w:val="auto"/>
              </w:rPr>
            </w:pPr>
            <w:r>
              <w:rPr>
                <w:rFonts w:ascii="Arial" w:cs="Arial" w:eastAsia="Arial" w:hAnsi="Arial"/>
                <w:sz w:val="14"/>
                <w:szCs w:val="14"/>
                <w:color w:val="auto"/>
              </w:rPr>
              <w:t>Other non-current assets</w:t>
            </w:r>
          </w:p>
        </w:tc>
        <w:tc>
          <w:tcPr>
            <w:tcW w:w="12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238.4</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293.3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Short-term derivative liabilities, net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266.4</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936.3</w:t>
            </w: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3420" w:type="dxa"/>
            <w:vAlign w:val="bottom"/>
            <w:gridSpan w:val="2"/>
          </w:tcPr>
          <w:p>
            <w:pPr>
              <w:ind w:left="300"/>
              <w:spacing w:after="0"/>
              <w:rPr>
                <w:sz w:val="20"/>
                <w:szCs w:val="20"/>
                <w:color w:val="auto"/>
              </w:rPr>
            </w:pPr>
            <w:r>
              <w:rPr>
                <w:rFonts w:ascii="Arial" w:cs="Arial" w:eastAsia="Arial" w:hAnsi="Arial"/>
                <w:sz w:val="14"/>
                <w:szCs w:val="14"/>
                <w:color w:val="auto"/>
              </w:rPr>
              <w:t>Other long-term liabilities</w:t>
            </w:r>
          </w:p>
        </w:tc>
        <w:tc>
          <w:tcPr>
            <w:tcW w:w="12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167.6</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312.3</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399.8</w:t>
            </w:r>
          </w:p>
        </w:tc>
        <w:tc>
          <w:tcPr>
            <w:tcW w:w="0" w:type="dxa"/>
            <w:vAlign w:val="bottom"/>
          </w:tcPr>
          <w:p>
            <w:pPr>
              <w:spacing w:after="0"/>
              <w:rPr>
                <w:sz w:val="1"/>
                <w:szCs w:val="1"/>
                <w:color w:val="auto"/>
              </w:rPr>
            </w:pPr>
          </w:p>
        </w:tc>
      </w:tr>
      <w:tr>
        <w:trPr>
          <w:trHeight w:val="273"/>
        </w:trPr>
        <w:tc>
          <w:tcPr>
            <w:tcW w:w="2000" w:type="dxa"/>
            <w:vAlign w:val="bottom"/>
            <w:shd w:val="clear" w:color="auto" w:fill="CCEEFF"/>
          </w:tcPr>
          <w:p>
            <w:pPr>
              <w:spacing w:after="0"/>
              <w:rPr>
                <w:sz w:val="23"/>
                <w:szCs w:val="23"/>
                <w:color w:val="auto"/>
              </w:rPr>
            </w:pPr>
          </w:p>
        </w:tc>
        <w:tc>
          <w:tcPr>
            <w:tcW w:w="3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3420" w:type="dxa"/>
            <w:vAlign w:val="bottom"/>
            <w:gridSpan w:val="2"/>
          </w:tcPr>
          <w:p>
            <w:pPr>
              <w:ind w:left="300"/>
              <w:spacing w:after="0"/>
              <w:rPr>
                <w:sz w:val="20"/>
                <w:szCs w:val="20"/>
                <w:color w:val="auto"/>
              </w:rPr>
            </w:pPr>
            <w:r>
              <w:rPr>
                <w:rFonts w:ascii="Arial" w:cs="Arial" w:eastAsia="Arial" w:hAnsi="Arial"/>
                <w:sz w:val="14"/>
                <w:szCs w:val="14"/>
                <w:color w:val="auto"/>
              </w:rPr>
              <w:t>Short-term derivative assets, net</w:t>
            </w:r>
          </w:p>
        </w:tc>
        <w:tc>
          <w:tcPr>
            <w:tcW w:w="12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Other non-current assets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3420" w:type="dxa"/>
            <w:vAlign w:val="bottom"/>
            <w:gridSpan w:val="2"/>
          </w:tcPr>
          <w:p>
            <w:pPr>
              <w:ind w:left="300"/>
              <w:spacing w:after="0"/>
              <w:rPr>
                <w:sz w:val="20"/>
                <w:szCs w:val="20"/>
                <w:color w:val="auto"/>
              </w:rPr>
            </w:pPr>
            <w:r>
              <w:rPr>
                <w:rFonts w:ascii="Arial" w:cs="Arial" w:eastAsia="Arial" w:hAnsi="Arial"/>
                <w:sz w:val="14"/>
                <w:szCs w:val="14"/>
                <w:color w:val="auto"/>
              </w:rPr>
              <w:t>Short-term derivative liabilities, net</w:t>
            </w:r>
          </w:p>
        </w:tc>
        <w:tc>
          <w:tcPr>
            <w:tcW w:w="12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15.7</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4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8"/>
        </w:trPr>
        <w:tc>
          <w:tcPr>
            <w:tcW w:w="54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1,153.7</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1,319.2</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1,209.1</w:t>
            </w:r>
          </w:p>
        </w:tc>
        <w:tc>
          <w:tcPr>
            <w:tcW w:w="1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1,484.1</w:t>
            </w:r>
          </w:p>
        </w:tc>
        <w:tc>
          <w:tcPr>
            <w:tcW w:w="0" w:type="dxa"/>
            <w:vAlign w:val="bottom"/>
          </w:tcPr>
          <w:p>
            <w:pPr>
              <w:spacing w:after="0"/>
              <w:rPr>
                <w:sz w:val="1"/>
                <w:szCs w:val="1"/>
                <w:color w:val="auto"/>
              </w:rPr>
            </w:pPr>
          </w:p>
        </w:tc>
      </w:tr>
      <w:tr>
        <w:trPr>
          <w:trHeight w:val="224"/>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w:t>
            </w:r>
          </w:p>
        </w:tc>
        <w:tc>
          <w:tcPr>
            <w:tcW w:w="3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1,177.1</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1,347.4</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1,212.4</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1,490.8</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regarding our derivative instruments measured at fair value after netting and collateral, see Note 5. Fair Value Measurements.</w:t>
      </w:r>
    </w:p>
    <w:p>
      <w:pPr>
        <w:spacing w:after="0" w:line="1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amounts were recorded on our Consolidated Balance Sheets related to cumulative basis adjustments for fair value hedges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Line item in the Consolidated Balance Sheets in</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Cumulative Amount of Fair Value Hedging</w:t>
            </w:r>
          </w:p>
        </w:tc>
        <w:tc>
          <w:tcPr>
            <w:tcW w:w="0" w:type="dxa"/>
            <w:vAlign w:val="bottom"/>
          </w:tcPr>
          <w:p>
            <w:pPr>
              <w:spacing w:after="0"/>
              <w:rPr>
                <w:sz w:val="1"/>
                <w:szCs w:val="1"/>
                <w:color w:val="auto"/>
              </w:rPr>
            </w:pPr>
          </w:p>
        </w:tc>
      </w:tr>
      <w:tr>
        <w:trPr>
          <w:trHeight w:val="147"/>
        </w:trPr>
        <w:tc>
          <w:tcPr>
            <w:tcW w:w="3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4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Carrying Amount of Hedged Assets/(Liabilities)</w:t>
            </w:r>
          </w:p>
        </w:tc>
        <w:tc>
          <w:tcPr>
            <w:tcW w:w="120" w:type="dxa"/>
            <w:vAlign w:val="bottom"/>
            <w:vMerge w:val="restart"/>
          </w:tcPr>
          <w:p>
            <w:pPr>
              <w:spacing w:after="0"/>
              <w:rPr>
                <w:sz w:val="12"/>
                <w:szCs w:val="12"/>
                <w:color w:val="auto"/>
              </w:rPr>
            </w:pPr>
          </w:p>
        </w:tc>
        <w:tc>
          <w:tcPr>
            <w:tcW w:w="3660" w:type="dxa"/>
            <w:vAlign w:val="bottom"/>
            <w:gridSpan w:val="5"/>
          </w:tcPr>
          <w:p>
            <w:pPr>
              <w:jc w:val="center"/>
              <w:spacing w:after="0" w:line="147" w:lineRule="exact"/>
              <w:rPr>
                <w:sz w:val="20"/>
                <w:szCs w:val="20"/>
                <w:color w:val="auto"/>
              </w:rPr>
            </w:pPr>
            <w:r>
              <w:rPr>
                <w:rFonts w:ascii="Arial" w:cs="Arial" w:eastAsia="Arial" w:hAnsi="Arial"/>
                <w:sz w:val="14"/>
                <w:szCs w:val="14"/>
                <w:b w:val="1"/>
                <w:bCs w:val="1"/>
                <w:color w:val="auto"/>
              </w:rPr>
              <w:t>Adjustment Included in the Carrying Amount of the</w:t>
            </w:r>
          </w:p>
        </w:tc>
        <w:tc>
          <w:tcPr>
            <w:tcW w:w="0" w:type="dxa"/>
            <w:vAlign w:val="bottom"/>
          </w:tcPr>
          <w:p>
            <w:pPr>
              <w:spacing w:after="0"/>
              <w:rPr>
                <w:sz w:val="1"/>
                <w:szCs w:val="1"/>
                <w:color w:val="auto"/>
              </w:rPr>
            </w:pPr>
          </w:p>
        </w:tc>
      </w:tr>
      <w:tr>
        <w:trPr>
          <w:trHeight w:val="18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which the hedged item is included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rPr>
              <w:t>Hedged Asset/(Liabilities)</w:t>
            </w:r>
          </w:p>
        </w:tc>
        <w:tc>
          <w:tcPr>
            <w:tcW w:w="0" w:type="dxa"/>
            <w:vAlign w:val="bottom"/>
          </w:tcPr>
          <w:p>
            <w:pPr>
              <w:spacing w:after="0"/>
              <w:rPr>
                <w:sz w:val="1"/>
                <w:szCs w:val="1"/>
                <w:color w:val="auto"/>
              </w:rPr>
            </w:pPr>
          </w:p>
        </w:tc>
      </w:tr>
      <w:tr>
        <w:trPr>
          <w:trHeight w:val="188"/>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6"/>
                <w:szCs w:val="16"/>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580" w:type="dxa"/>
            <w:vAlign w:val="bottom"/>
          </w:tcPr>
          <w:p>
            <w:pPr>
              <w:jc w:val="right"/>
              <w:ind w:right="16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26"/>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61.1</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Earnings and Other Comprehensive Income (Loss)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Designated as Hedging Instruments</w:t>
      </w:r>
    </w:p>
    <w:p>
      <w:pPr>
        <w:spacing w:after="0" w:line="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presents, on a pre-tax basis, the location and amount of gains (losses) on fair value and cash flow hedges recognized in income in our Condensed Consolidated Statements of Income and Comprehensive Income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Three Months Ended March 31,</w:t>
            </w: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2023</w:t>
            </w:r>
          </w:p>
        </w:tc>
        <w:tc>
          <w:tcPr>
            <w:tcW w:w="1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2022</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center"/>
              <w:ind w:right="160"/>
              <w:spacing w:after="0" w:line="146" w:lineRule="exact"/>
              <w:rPr>
                <w:sz w:val="20"/>
                <w:szCs w:val="20"/>
                <w:color w:val="auto"/>
              </w:rPr>
            </w:pPr>
            <w:r>
              <w:rPr>
                <w:rFonts w:ascii="Arial" w:cs="Arial" w:eastAsia="Arial" w:hAnsi="Arial"/>
                <w:sz w:val="14"/>
                <w:szCs w:val="14"/>
                <w:b w:val="1"/>
                <w:bCs w:val="1"/>
                <w:color w:val="auto"/>
              </w:rPr>
              <w:t>Interest expense</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rPr>
              <w:t>Interest expense</w:t>
            </w:r>
          </w:p>
        </w:tc>
        <w:tc>
          <w:tcPr>
            <w:tcW w:w="0" w:type="dxa"/>
            <w:vAlign w:val="bottom"/>
          </w:tcPr>
          <w:p>
            <w:pPr>
              <w:spacing w:after="0"/>
              <w:rPr>
                <w:sz w:val="1"/>
                <w:szCs w:val="1"/>
                <w:color w:val="auto"/>
              </w:rPr>
            </w:pPr>
          </w:p>
        </w:tc>
      </w:tr>
      <w:tr>
        <w:trPr>
          <w:trHeight w:val="147"/>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Cost of</w:t>
            </w: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2"/>
                <w:szCs w:val="12"/>
                <w:color w:val="auto"/>
              </w:rPr>
            </w:pPr>
          </w:p>
        </w:tc>
        <w:tc>
          <w:tcPr>
            <w:tcW w:w="1200" w:type="dxa"/>
            <w:vAlign w:val="bottom"/>
          </w:tcPr>
          <w:p>
            <w:pPr>
              <w:jc w:val="center"/>
              <w:ind w:right="29"/>
              <w:spacing w:after="0" w:line="147" w:lineRule="exact"/>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47"/>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financing costs,</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49"/>
              <w:spacing w:after="0" w:line="147" w:lineRule="exact"/>
              <w:rPr>
                <w:sz w:val="20"/>
                <w:szCs w:val="20"/>
                <w:color w:val="auto"/>
              </w:rPr>
            </w:pPr>
            <w:r>
              <w:rPr>
                <w:rFonts w:ascii="Arial" w:cs="Arial" w:eastAsia="Arial" w:hAnsi="Arial"/>
                <w:sz w:val="14"/>
                <w:szCs w:val="14"/>
                <w:b w:val="1"/>
                <w:bCs w:val="1"/>
                <w:color w:val="auto"/>
              </w:rPr>
              <w:t>financing costs,</w:t>
            </w: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200" w:type="dxa"/>
            <w:vAlign w:val="bottom"/>
          </w:tcPr>
          <w:p>
            <w:pPr>
              <w:jc w:val="center"/>
              <w:ind w:right="29"/>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5"/>
        </w:trPr>
        <w:tc>
          <w:tcPr>
            <w:tcW w:w="4000" w:type="dxa"/>
            <w:vAlign w:val="bottom"/>
            <w:tcBorders>
              <w:top w:val="single" w:sz="8" w:color="CCEEFF"/>
            </w:tcBorders>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Total amounts of income and expense line items in which the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12,481.6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12,218.9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12,382.0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12,151.1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6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effects of fair value or cash flow hedged are recorded</w:t>
            </w:r>
          </w:p>
        </w:tc>
        <w:tc>
          <w:tcPr>
            <w:tcW w:w="1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00" w:type="dxa"/>
            <w:vAlign w:val="bottom"/>
            <w:gridSpan w:val="2"/>
          </w:tcPr>
          <w:p>
            <w:pPr>
              <w:ind w:left="140"/>
              <w:spacing w:after="0"/>
              <w:rPr>
                <w:sz w:val="20"/>
                <w:szCs w:val="20"/>
                <w:color w:val="auto"/>
              </w:rPr>
            </w:pPr>
            <w:r>
              <w:rPr>
                <w:rFonts w:ascii="Arial" w:cs="Arial" w:eastAsia="Arial" w:hAnsi="Arial"/>
                <w:sz w:val="14"/>
                <w:szCs w:val="14"/>
                <w:color w:val="auto"/>
              </w:rPr>
              <w:t>Gains (losses) on fair value hedge relationships: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Commodity contracts: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0" w:type="dxa"/>
            <w:vAlign w:val="bottom"/>
            <w:gridSpan w:val="2"/>
          </w:tcPr>
          <w:p>
            <w:pPr>
              <w:ind w:left="460"/>
              <w:spacing w:after="0"/>
              <w:rPr>
                <w:sz w:val="20"/>
                <w:szCs w:val="20"/>
                <w:color w:val="auto"/>
              </w:rPr>
            </w:pPr>
            <w:r>
              <w:rPr>
                <w:rFonts w:ascii="Arial" w:cs="Arial" w:eastAsia="Arial" w:hAnsi="Arial"/>
                <w:sz w:val="14"/>
                <w:szCs w:val="14"/>
                <w:color w:val="auto"/>
              </w:rPr>
              <w:t>Hedged item</w:t>
            </w:r>
          </w:p>
        </w:tc>
        <w:tc>
          <w:tcPr>
            <w:tcW w:w="1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0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Derivatives designated as hedging instruments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000" w:type="dxa"/>
            <w:vAlign w:val="bottom"/>
            <w:gridSpan w:val="2"/>
          </w:tcPr>
          <w:p>
            <w:pPr>
              <w:ind w:left="460"/>
              <w:spacing w:after="0"/>
              <w:rPr>
                <w:sz w:val="20"/>
                <w:szCs w:val="20"/>
                <w:color w:val="auto"/>
              </w:rPr>
            </w:pPr>
            <w:r>
              <w:rPr>
                <w:rFonts w:ascii="Arial" w:cs="Arial" w:eastAsia="Arial" w:hAnsi="Arial"/>
                <w:sz w:val="14"/>
                <w:szCs w:val="14"/>
                <w:color w:val="auto"/>
              </w:rPr>
              <w:t>Amount excluded from effectiveness testing</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00" w:type="dxa"/>
            <w:vAlign w:val="bottom"/>
            <w:gridSpan w:val="2"/>
          </w:tcPr>
          <w:p>
            <w:pPr>
              <w:ind w:left="460"/>
              <w:spacing w:after="0" w:line="133" w:lineRule="exact"/>
              <w:rPr>
                <w:sz w:val="20"/>
                <w:szCs w:val="20"/>
                <w:color w:val="auto"/>
              </w:rPr>
            </w:pPr>
            <w:r>
              <w:rPr>
                <w:rFonts w:ascii="Arial" w:cs="Arial" w:eastAsia="Arial" w:hAnsi="Arial"/>
                <w:sz w:val="14"/>
                <w:szCs w:val="14"/>
                <w:color w:val="auto"/>
              </w:rPr>
              <w:t>recognized in earnings based on amortization</w:t>
            </w:r>
          </w:p>
        </w:tc>
        <w:tc>
          <w:tcPr>
            <w:tcW w:w="16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000" w:type="dxa"/>
            <w:vAlign w:val="bottom"/>
            <w:gridSpan w:val="2"/>
          </w:tcPr>
          <w:p>
            <w:pPr>
              <w:ind w:left="460"/>
              <w:spacing w:after="0"/>
              <w:rPr>
                <w:sz w:val="20"/>
                <w:szCs w:val="20"/>
                <w:color w:val="auto"/>
              </w:rPr>
            </w:pPr>
            <w:r>
              <w:rPr>
                <w:rFonts w:ascii="Arial" w:cs="Arial" w:eastAsia="Arial" w:hAnsi="Arial"/>
                <w:sz w:val="14"/>
                <w:szCs w:val="14"/>
                <w:color w:val="auto"/>
              </w:rPr>
              <w:t>approach</w:t>
            </w: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Gains (losses) on cash flow hedge relationships: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0" w:type="dxa"/>
            <w:vAlign w:val="bottom"/>
            <w:gridSpan w:val="2"/>
          </w:tcPr>
          <w:p>
            <w:pPr>
              <w:ind w:left="240"/>
              <w:spacing w:after="0"/>
              <w:rPr>
                <w:sz w:val="20"/>
                <w:szCs w:val="20"/>
                <w:color w:val="auto"/>
              </w:rPr>
            </w:pPr>
            <w:r>
              <w:rPr>
                <w:rFonts w:ascii="Arial" w:cs="Arial" w:eastAsia="Arial" w:hAnsi="Arial"/>
                <w:sz w:val="14"/>
                <w:szCs w:val="14"/>
                <w:color w:val="auto"/>
              </w:rPr>
              <w:t>Commodity contracts: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Amount of gain (loss) reclassified from Accumulated</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0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other comprehensive income (loss) into net income</w:t>
            </w:r>
          </w:p>
        </w:tc>
        <w:tc>
          <w:tcPr>
            <w:tcW w:w="16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00" w:type="dxa"/>
            <w:vAlign w:val="bottom"/>
            <w:gridSpan w:val="2"/>
          </w:tcPr>
          <w:p>
            <w:pPr>
              <w:ind w:left="460"/>
              <w:spacing w:after="0"/>
              <w:rPr>
                <w:sz w:val="20"/>
                <w:szCs w:val="20"/>
                <w:color w:val="auto"/>
              </w:rPr>
            </w:pPr>
            <w:r>
              <w:rPr>
                <w:rFonts w:ascii="Arial" w:cs="Arial" w:eastAsia="Arial" w:hAnsi="Arial"/>
                <w:sz w:val="14"/>
                <w:szCs w:val="14"/>
                <w:color w:val="auto"/>
              </w:rPr>
              <w:t>Amount excluded from effectiveness testing</w:t>
            </w:r>
          </w:p>
        </w:tc>
        <w:tc>
          <w:tcPr>
            <w:tcW w:w="160" w:type="dxa"/>
            <w:vAlign w:val="bottom"/>
          </w:tcPr>
          <w:p>
            <w:pPr>
              <w:spacing w:after="0"/>
              <w:rPr>
                <w:sz w:val="14"/>
                <w:szCs w:val="14"/>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4000" w:type="dxa"/>
            <w:vAlign w:val="bottom"/>
            <w:gridSpan w:val="2"/>
          </w:tcPr>
          <w:p>
            <w:pPr>
              <w:ind w:left="460"/>
              <w:spacing w:after="0"/>
              <w:rPr>
                <w:sz w:val="20"/>
                <w:szCs w:val="20"/>
                <w:color w:val="auto"/>
              </w:rPr>
            </w:pPr>
            <w:r>
              <w:rPr>
                <w:rFonts w:ascii="Arial" w:cs="Arial" w:eastAsia="Arial" w:hAnsi="Arial"/>
                <w:sz w:val="14"/>
                <w:szCs w:val="14"/>
                <w:color w:val="auto"/>
              </w:rPr>
              <w:t>recognized in earnings based on changes in fair value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Interest rate contracts: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00" w:type="dxa"/>
            <w:vAlign w:val="bottom"/>
            <w:gridSpan w:val="2"/>
          </w:tcPr>
          <w:p>
            <w:pPr>
              <w:ind w:left="460"/>
              <w:spacing w:after="0"/>
              <w:rPr>
                <w:sz w:val="20"/>
                <w:szCs w:val="20"/>
                <w:color w:val="auto"/>
              </w:rPr>
            </w:pPr>
            <w:r>
              <w:rPr>
                <w:rFonts w:ascii="Arial" w:cs="Arial" w:eastAsia="Arial" w:hAnsi="Arial"/>
                <w:sz w:val="14"/>
                <w:szCs w:val="14"/>
                <w:color w:val="auto"/>
              </w:rPr>
              <w:t>Amount of gain (loss) reclassified from Accumulated</w:t>
            </w:r>
          </w:p>
        </w:tc>
        <w:tc>
          <w:tcPr>
            <w:tcW w:w="160" w:type="dxa"/>
            <w:vAlign w:val="bottom"/>
          </w:tcPr>
          <w:p>
            <w:pPr>
              <w:spacing w:after="0"/>
              <w:rPr>
                <w:sz w:val="14"/>
                <w:szCs w:val="14"/>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9"/>
        </w:trPr>
        <w:tc>
          <w:tcPr>
            <w:tcW w:w="4000" w:type="dxa"/>
            <w:vAlign w:val="bottom"/>
            <w:gridSpan w:val="2"/>
          </w:tcPr>
          <w:p>
            <w:pPr>
              <w:ind w:left="460"/>
              <w:spacing w:after="0"/>
              <w:rPr>
                <w:sz w:val="20"/>
                <w:szCs w:val="20"/>
                <w:color w:val="auto"/>
              </w:rPr>
            </w:pPr>
            <w:r>
              <w:rPr>
                <w:rFonts w:ascii="Arial" w:cs="Arial" w:eastAsia="Arial" w:hAnsi="Arial"/>
                <w:sz w:val="14"/>
                <w:szCs w:val="14"/>
                <w:color w:val="auto"/>
              </w:rPr>
              <w:t>other comprehensive income (loss) into net income</w:t>
            </w: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0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Amount excluded from effectiveness testing</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8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recognized in earnings based on changes in fair value</w:t>
            </w: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0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Total amount of income and expense line items excluding</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12,482.1</w:t>
            </w:r>
          </w:p>
        </w:tc>
        <w:tc>
          <w:tcPr>
            <w:tcW w:w="1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12,219.3</w:t>
            </w:r>
          </w:p>
        </w:tc>
        <w:tc>
          <w:tcPr>
            <w:tcW w:w="1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37.4</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12,415.0</w:t>
            </w:r>
          </w:p>
        </w:tc>
        <w:tc>
          <w:tcPr>
            <w:tcW w:w="1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12,138.6</w:t>
            </w:r>
          </w:p>
        </w:tc>
        <w:tc>
          <w:tcPr>
            <w:tcW w:w="1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69"/>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the impact of hedges</w:t>
            </w: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following table presents, on a pre-tax basis, the amounts not recorded in Accumulated other comprehensive income (loss) due to intra-period settlement but recognized in Revenue and Cost of revenue in our Condensed Consolidated Statements of Income and Comprehensive Income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Gain (Loss) Not Recorded in Accumulated other</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140" w:type="dxa"/>
            <w:vAlign w:val="bottom"/>
            <w:gridSpan w:val="4"/>
            <w:vMerge w:val="restart"/>
          </w:tcPr>
          <w:p>
            <w:pPr>
              <w:jc w:val="right"/>
              <w:ind w:right="531"/>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146"/>
        </w:trPr>
        <w:tc>
          <w:tcPr>
            <w:tcW w:w="4640" w:type="dxa"/>
            <w:vAlign w:val="bottom"/>
            <w:gridSpan w:val="2"/>
          </w:tcPr>
          <w:p>
            <w:pPr>
              <w:jc w:val="center"/>
              <w:ind w:right="120"/>
              <w:spacing w:after="0" w:line="146" w:lineRule="exact"/>
              <w:rPr>
                <w:sz w:val="20"/>
                <w:szCs w:val="20"/>
                <w:color w:val="auto"/>
              </w:rPr>
            </w:pPr>
            <w:r>
              <w:rPr>
                <w:rFonts w:ascii="Arial" w:cs="Arial" w:eastAsia="Arial" w:hAnsi="Arial"/>
                <w:sz w:val="16"/>
                <w:szCs w:val="16"/>
                <w:b w:val="1"/>
                <w:bCs w:val="1"/>
                <w:color w:val="auto"/>
              </w:rPr>
              <w:t>comprehensive income (loss) Due to Intra-Period</w:t>
            </w:r>
          </w:p>
        </w:tc>
        <w:tc>
          <w:tcPr>
            <w:tcW w:w="1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140" w:type="dxa"/>
            <w:vAlign w:val="bottom"/>
            <w:vMerge w:val="restart"/>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140" w:type="dxa"/>
            <w:vAlign w:val="bottom"/>
            <w:tcBorders>
              <w:bottom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Settlement</w:t>
            </w:r>
          </w:p>
        </w:tc>
        <w:tc>
          <w:tcPr>
            <w:tcW w:w="14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1"/>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5"/>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March 31, 2023 and 2022, there were no gains or losses recognized in earnings related to our fair value or cash flow hedges that were excluded from the assessment of hedge effectiveness.</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March 31, 2023, on a pre-tax basis, $0.1 million is scheduled to be reclassified from Accumulated other comprehensive income (loss) over the next twelve months as an increase to Cost of revenue related to designated commodity cash flow hedges that will mature within the next twelve months.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1" w:name="page12"/>
    <w:bookmarkEnd w:id="11"/>
    <w:p>
      <w:pPr>
        <w:jc w:val="both"/>
        <w:spacing w:after="0" w:line="250" w:lineRule="auto"/>
        <w:rPr>
          <w:sz w:val="20"/>
          <w:szCs w:val="20"/>
          <w:color w:val="auto"/>
        </w:rPr>
      </w:pPr>
      <w:r>
        <w:rPr>
          <w:rFonts w:ascii="Arial" w:cs="Arial" w:eastAsia="Arial" w:hAnsi="Arial"/>
          <w:sz w:val="18"/>
          <w:szCs w:val="18"/>
          <w:color w:val="auto"/>
        </w:rPr>
        <w:t>The following tables present the effect and financial statement location of our derivative instruments in cash flow hedging relationships on Accumulated other comprehensive income (loss) and in our Condensed Consolidated Statements of Income and Comprehensive Income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20" w:type="dxa"/>
            <w:vAlign w:val="bottom"/>
            <w:gridSpan w:val="2"/>
          </w:tcPr>
          <w:p>
            <w:pPr>
              <w:ind w:left="300"/>
              <w:spacing w:after="0"/>
              <w:rPr>
                <w:sz w:val="20"/>
                <w:szCs w:val="20"/>
                <w:color w:val="auto"/>
              </w:rPr>
            </w:pPr>
            <w:r>
              <w:rPr>
                <w:rFonts w:ascii="Arial" w:cs="Arial" w:eastAsia="Arial" w:hAnsi="Arial"/>
                <w:sz w:val="18"/>
                <w:szCs w:val="18"/>
                <w:b w:val="1"/>
                <w:bCs w:val="1"/>
                <w:color w:val="auto"/>
              </w:rPr>
              <w:t>Amount of Gain (Loss) Recognized in Accumulated other comprehensive</w:t>
            </w:r>
          </w:p>
        </w:tc>
        <w:tc>
          <w:tcPr>
            <w:tcW w:w="3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46"/>
        </w:trPr>
        <w:tc>
          <w:tcPr>
            <w:tcW w:w="678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income (loss), Net of Income Tax (Expense) Benefit</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rPr>
              <w:t>2022</w:t>
            </w:r>
          </w:p>
        </w:tc>
      </w:tr>
      <w:tr>
        <w:trPr>
          <w:trHeight w:val="221"/>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 (Revenue)</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center"/>
              <w:ind w:left="1271"/>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26"/>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Commodity contracts (Cost of revenue)</w:t>
            </w:r>
          </w:p>
        </w:tc>
        <w:tc>
          <w:tcPr>
            <w:tcW w:w="320" w:type="dxa"/>
            <w:vAlign w:val="bottom"/>
          </w:tcPr>
          <w:p>
            <w:pPr>
              <w:spacing w:after="0"/>
              <w:rPr>
                <w:sz w:val="19"/>
                <w:szCs w:val="19"/>
                <w:color w:val="auto"/>
              </w:rPr>
            </w:pPr>
          </w:p>
        </w:tc>
        <w:tc>
          <w:tcPr>
            <w:tcW w:w="1780" w:type="dxa"/>
            <w:vAlign w:val="bottom"/>
          </w:tcPr>
          <w:p>
            <w:pPr>
              <w:jc w:val="center"/>
              <w:ind w:left="1251"/>
              <w:spacing w:after="0"/>
              <w:rPr>
                <w:sz w:val="20"/>
                <w:szCs w:val="20"/>
                <w:color w:val="auto"/>
              </w:rPr>
            </w:pPr>
            <w:r>
              <w:rPr>
                <w:rFonts w:ascii="Arial" w:cs="Arial" w:eastAsia="Arial" w:hAnsi="Arial"/>
                <w:sz w:val="18"/>
                <w:szCs w:val="18"/>
                <w:color w:val="auto"/>
                <w:w w:val="97"/>
              </w:rPr>
              <w:t>(0.4)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contracts (Interest expense and other financing costs, net)</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center"/>
              <w:ind w:left="1251"/>
              <w:spacing w:after="0"/>
              <w:rPr>
                <w:sz w:val="20"/>
                <w:szCs w:val="20"/>
                <w:color w:val="auto"/>
              </w:rPr>
            </w:pPr>
            <w:r>
              <w:rPr>
                <w:rFonts w:ascii="Arial" w:cs="Arial" w:eastAsia="Arial" w:hAnsi="Arial"/>
                <w:sz w:val="18"/>
                <w:szCs w:val="18"/>
                <w:color w:val="auto"/>
                <w:w w:val="97"/>
              </w:rPr>
              <w:t>(0.7)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1"/>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Total gain (loss)</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center"/>
              <w:ind w:left="1251"/>
              <w:spacing w:after="0"/>
              <w:rPr>
                <w:sz w:val="20"/>
                <w:szCs w:val="20"/>
                <w:color w:val="auto"/>
              </w:rPr>
            </w:pPr>
            <w:r>
              <w:rPr>
                <w:rFonts w:ascii="Arial" w:cs="Arial" w:eastAsia="Arial" w:hAnsi="Arial"/>
                <w:sz w:val="18"/>
                <w:szCs w:val="18"/>
                <w:color w:val="auto"/>
                <w:w w:val="97"/>
              </w:rPr>
              <w:t>(0.3)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r>
      <w:tr>
        <w:trPr>
          <w:trHeight w:val="20"/>
        </w:trPr>
        <w:tc>
          <w:tcPr>
            <w:tcW w:w="6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3" w:right="339" w:bottom="1440" w:gutter="0" w:footer="0" w:header="0"/>
        </w:sectPr>
      </w:pPr>
    </w:p>
    <w:p>
      <w:pPr>
        <w:spacing w:after="0" w:line="57" w:lineRule="exact"/>
        <w:rPr>
          <w:sz w:val="20"/>
          <w:szCs w:val="20"/>
          <w:color w:val="auto"/>
        </w:rPr>
      </w:pPr>
    </w:p>
    <w:p>
      <w:pPr>
        <w:jc w:val="center"/>
        <w:ind w:left="60" w:right="2180"/>
        <w:spacing w:after="0" w:line="216" w:lineRule="auto"/>
        <w:rPr>
          <w:sz w:val="20"/>
          <w:szCs w:val="20"/>
          <w:color w:val="auto"/>
        </w:rPr>
      </w:pPr>
      <w:r>
        <w:rPr>
          <w:rFonts w:ascii="Arial" w:cs="Arial" w:eastAsia="Arial" w:hAnsi="Arial"/>
          <w:sz w:val="17"/>
          <w:szCs w:val="17"/>
          <w:b w:val="1"/>
          <w:bCs w:val="1"/>
          <w:color w:val="auto"/>
        </w:rPr>
        <w:t>Amount of Gain (Loss) Reclassified from Accumulated other comprehensive income (loss) into Net income (loss), Net of Income Tax (Expense)</w:t>
      </w:r>
    </w:p>
    <w:p>
      <w:pPr>
        <w:spacing w:after="0" w:line="1" w:lineRule="exact"/>
        <w:rPr>
          <w:sz w:val="20"/>
          <w:szCs w:val="20"/>
          <w:color w:val="auto"/>
        </w:rPr>
      </w:pPr>
    </w:p>
    <w:p>
      <w:pPr>
        <w:jc w:val="both"/>
        <w:ind w:left="1960"/>
        <w:spacing w:after="0"/>
        <w:tabs>
          <w:tab w:leader="none" w:pos="4640" w:val="left"/>
        </w:tabs>
        <w:rPr>
          <w:sz w:val="20"/>
          <w:szCs w:val="20"/>
          <w:color w:val="auto"/>
        </w:rPr>
      </w:pPr>
      <w:r>
        <w:rPr>
          <w:rFonts w:ascii="Arial" w:cs="Arial" w:eastAsia="Arial" w:hAnsi="Arial"/>
          <w:sz w:val="18"/>
          <w:szCs w:val="18"/>
          <w:b w:val="1"/>
          <w:bCs w:val="1"/>
          <w:color w:val="auto"/>
        </w:rPr>
        <w:t>Benefit</w:t>
      </w:r>
      <w:r>
        <w:rPr>
          <w:sz w:val="20"/>
          <w:szCs w:val="20"/>
          <w:color w:val="auto"/>
        </w:rPr>
        <w:tab/>
      </w:r>
      <w:r>
        <w:rPr>
          <w:rFonts w:ascii="Arial" w:cs="Arial" w:eastAsia="Arial" w:hAnsi="Arial"/>
          <w:sz w:val="18"/>
          <w:szCs w:val="18"/>
          <w:b w:val="1"/>
          <w:bCs w:val="1"/>
          <w:color w:val="auto"/>
        </w:rPr>
        <w:t>Location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620"/>
        <w:spacing w:after="0"/>
        <w:rPr>
          <w:sz w:val="20"/>
          <w:szCs w:val="20"/>
          <w:color w:val="auto"/>
        </w:rPr>
      </w:pPr>
      <w:r>
        <w:rPr>
          <w:rFonts w:ascii="Arial" w:cs="Arial" w:eastAsia="Arial" w:hAnsi="Arial"/>
          <w:sz w:val="17"/>
          <w:szCs w:val="17"/>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-386080</wp:posOffset>
            </wp:positionH>
            <wp:positionV relativeFrom="paragraph">
              <wp:posOffset>26035</wp:posOffset>
            </wp:positionV>
            <wp:extent cx="2863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63850" cy="8255"/>
                    </a:xfrm>
                    <a:prstGeom prst="rect">
                      <a:avLst/>
                    </a:prstGeom>
                    <a:noFill/>
                  </pic:spPr>
                </pic:pic>
              </a:graphicData>
            </a:graphic>
          </wp:anchor>
        </w:drawing>
      </w:r>
    </w:p>
    <w:p>
      <w:pPr>
        <w:spacing w:after="0" w:line="51" w:lineRule="exact"/>
        <w:rPr>
          <w:sz w:val="20"/>
          <w:szCs w:val="20"/>
          <w:color w:val="auto"/>
        </w:rPr>
      </w:pPr>
    </w:p>
    <w:p>
      <w:pPr>
        <w:ind w:left="280"/>
        <w:spacing w:after="0"/>
        <w:tabs>
          <w:tab w:leader="none" w:pos="258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8" w:lineRule="exact"/>
        <w:rPr>
          <w:sz w:val="20"/>
          <w:szCs w:val="20"/>
          <w:color w:val="auto"/>
        </w:rPr>
      </w:pPr>
    </w:p>
    <w:p>
      <w:pPr>
        <w:sectPr>
          <w:pgSz w:w="11900" w:h="16838" w:orient="portrait"/>
          <w:cols w:equalWidth="0" w:num="2">
            <w:col w:w="6620" w:space="720"/>
            <w:col w:w="3900"/>
          </w:cols>
          <w:pgMar w:left="320" w:top="1113"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4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4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center"/>
              <w:ind w:left="731"/>
              <w:spacing w:after="0"/>
              <w:rPr>
                <w:sz w:val="20"/>
                <w:szCs w:val="20"/>
                <w:color w:val="auto"/>
              </w:rPr>
            </w:pPr>
            <w:r>
              <w:rPr>
                <w:rFonts w:ascii="Arial" w:cs="Arial" w:eastAsia="Arial" w:hAnsi="Arial"/>
                <w:sz w:val="18"/>
                <w:szCs w:val="18"/>
                <w:color w:val="auto"/>
              </w:rPr>
              <w:t>(0.4)</w:t>
            </w:r>
          </w:p>
        </w:tc>
        <w:tc>
          <w:tcPr>
            <w:tcW w:w="1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6"/>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940" w:type="dxa"/>
            <w:vAlign w:val="bottom"/>
          </w:tcPr>
          <w:p>
            <w:pPr>
              <w:spacing w:after="0"/>
              <w:rPr>
                <w:sz w:val="19"/>
                <w:szCs w:val="19"/>
                <w:color w:val="auto"/>
              </w:rPr>
            </w:pPr>
          </w:p>
        </w:tc>
        <w:tc>
          <w:tcPr>
            <w:tcW w:w="1240" w:type="dxa"/>
            <w:vAlign w:val="bottom"/>
          </w:tcPr>
          <w:p>
            <w:pPr>
              <w:jc w:val="center"/>
              <w:ind w:left="73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7"/>
        </w:trPr>
        <w:tc>
          <w:tcPr>
            <w:tcW w:w="4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0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8"/>
                <w:szCs w:val="18"/>
                <w:color w:val="auto"/>
              </w:rPr>
              <w:t>Interest expense and</w:t>
            </w:r>
          </w:p>
        </w:tc>
        <w:tc>
          <w:tcPr>
            <w:tcW w:w="9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173"/>
        </w:trPr>
        <w:tc>
          <w:tcPr>
            <w:tcW w:w="4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10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other financing costs,</w:t>
            </w:r>
          </w:p>
        </w:tc>
        <w:tc>
          <w:tcPr>
            <w:tcW w:w="9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7"/>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9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left="751"/>
              <w:spacing w:after="0"/>
              <w:rPr>
                <w:sz w:val="20"/>
                <w:szCs w:val="20"/>
                <w:color w:val="auto"/>
              </w:rPr>
            </w:pPr>
            <w:r>
              <w:rPr>
                <w:rFonts w:ascii="Arial" w:cs="Arial" w:eastAsia="Arial" w:hAnsi="Arial"/>
                <w:sz w:val="18"/>
                <w:szCs w:val="18"/>
                <w:color w:val="auto"/>
                <w:w w:val="95"/>
              </w:rPr>
              <w:t>2.3</w:t>
            </w:r>
          </w:p>
        </w:tc>
        <w:tc>
          <w:tcPr>
            <w:tcW w:w="14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1"/>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Total gain (loss)</w:t>
            </w:r>
          </w:p>
        </w:tc>
        <w:tc>
          <w:tcPr>
            <w:tcW w:w="1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center"/>
              <w:ind w:left="751"/>
              <w:spacing w:after="0"/>
              <w:rPr>
                <w:sz w:val="20"/>
                <w:szCs w:val="20"/>
                <w:color w:val="auto"/>
              </w:rPr>
            </w:pPr>
            <w:r>
              <w:rPr>
                <w:rFonts w:ascii="Arial" w:cs="Arial" w:eastAsia="Arial" w:hAnsi="Arial"/>
                <w:sz w:val="18"/>
                <w:szCs w:val="18"/>
                <w:color w:val="auto"/>
                <w:w w:val="95"/>
              </w:rPr>
              <w:t>1.8</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0"/>
        </w:trPr>
        <w:tc>
          <w:tcPr>
            <w:tcW w:w="4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Not Designated as Hedging Instruments</w:t>
      </w:r>
    </w:p>
    <w:p>
      <w:pPr>
        <w:spacing w:after="0" w:line="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presents the amount and financial statement location in our Condensed Consolidated Statements of Income and Comprehensive Income of realized and unrealized gains (losses) recognized on derivative instruments not designated as hedging instruments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 Instruments - Non-designated</w:t>
            </w:r>
          </w:p>
        </w:tc>
        <w:tc>
          <w:tcPr>
            <w:tcW w:w="140" w:type="dxa"/>
            <w:vAlign w:val="bottom"/>
            <w:vMerge w:val="restart"/>
          </w:tcPr>
          <w:p>
            <w:pPr>
              <w:spacing w:after="0"/>
              <w:rPr>
                <w:sz w:val="20"/>
                <w:szCs w:val="20"/>
                <w:color w:val="auto"/>
              </w:rPr>
            </w:pPr>
          </w:p>
        </w:tc>
        <w:tc>
          <w:tcPr>
            <w:tcW w:w="2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140" w:type="dxa"/>
            <w:vAlign w:val="bottom"/>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21"/>
        </w:trPr>
        <w:tc>
          <w:tcPr>
            <w:tcW w:w="42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21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0"/>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6"/>
        </w:trPr>
        <w:tc>
          <w:tcPr>
            <w:tcW w:w="42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1"/>
        </w:trPr>
        <w:tc>
          <w:tcPr>
            <w:tcW w:w="4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9"/>
        </w:trPr>
        <w:tc>
          <w:tcPr>
            <w:tcW w:w="4420" w:type="dxa"/>
            <w:vAlign w:val="bottom"/>
            <w:gridSpan w:val="2"/>
          </w:tcPr>
          <w:p>
            <w:pPr>
              <w:ind w:left="20"/>
              <w:spacing w:after="0" w:line="206" w:lineRule="exact"/>
              <w:rPr>
                <w:sz w:val="20"/>
                <w:szCs w:val="20"/>
                <w:color w:val="auto"/>
              </w:rPr>
            </w:pPr>
            <w:r>
              <w:rPr>
                <w:rFonts w:ascii="Arial" w:cs="Arial" w:eastAsia="Arial" w:hAnsi="Arial"/>
                <w:sz w:val="18"/>
                <w:szCs w:val="18"/>
                <w:color w:val="auto"/>
              </w:rPr>
              <w:t>Foreign currency contracts</w:t>
            </w:r>
          </w:p>
        </w:tc>
        <w:tc>
          <w:tcPr>
            <w:tcW w:w="2320" w:type="dxa"/>
            <w:vAlign w:val="bottom"/>
            <w:gridSpan w:val="2"/>
          </w:tcPr>
          <w:p>
            <w:pPr>
              <w:ind w:left="20"/>
              <w:spacing w:after="0" w:line="206" w:lineRule="exact"/>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7"/>
        </w:trPr>
        <w:tc>
          <w:tcPr>
            <w:tcW w:w="4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0"/>
        </w:trPr>
        <w:tc>
          <w:tcPr>
            <w:tcW w:w="42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5"/>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gain (loss)</w:t>
            </w:r>
          </w:p>
        </w:tc>
        <w:tc>
          <w:tcPr>
            <w:tcW w:w="2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enter into derivative contracts which may require us to post collateral periodically. Certain of these derivative contracts contain credit-risk-related contingent clauses which are triggered by credit events. These credit events may include the requirement to post additional collateral or the immediate settlement of the derivative instruments upon the occurrence of a credit downgrade or if certain defined financial ratios fall below an established threshold.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potential collateral requirements for derivative liabilities with credit-risk-contingent features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0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March 31, 2023</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2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liability positions with credit contingent features</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center"/>
              <w:ind w:left="1331"/>
              <w:spacing w:after="0"/>
              <w:rPr>
                <w:sz w:val="20"/>
                <w:szCs w:val="20"/>
                <w:color w:val="auto"/>
              </w:rPr>
            </w:pPr>
            <w:r>
              <w:rPr>
                <w:rFonts w:ascii="Arial" w:cs="Arial" w:eastAsia="Arial" w:hAnsi="Arial"/>
                <w:sz w:val="18"/>
                <w:szCs w:val="18"/>
                <w:color w:val="auto"/>
              </w:rPr>
              <w:t>76.9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center"/>
              <w:ind w:left="1411"/>
              <w:spacing w:after="0"/>
              <w:rPr>
                <w:sz w:val="20"/>
                <w:szCs w:val="20"/>
                <w:color w:val="auto"/>
              </w:rPr>
            </w:pPr>
            <w:r>
              <w:rPr>
                <w:rFonts w:ascii="Arial" w:cs="Arial" w:eastAsia="Arial" w:hAnsi="Arial"/>
                <w:sz w:val="18"/>
                <w:szCs w:val="18"/>
                <w:color w:val="auto"/>
                <w:w w:val="96"/>
              </w:rPr>
              <w:t>72.5</w:t>
            </w:r>
          </w:p>
        </w:tc>
        <w:tc>
          <w:tcPr>
            <w:tcW w:w="0" w:type="dxa"/>
            <w:vAlign w:val="bottom"/>
          </w:tcPr>
          <w:p>
            <w:pPr>
              <w:spacing w:after="0"/>
              <w:rPr>
                <w:sz w:val="1"/>
                <w:szCs w:val="1"/>
                <w:color w:val="auto"/>
              </w:rPr>
            </w:pPr>
          </w:p>
        </w:tc>
      </w:tr>
      <w:tr>
        <w:trPr>
          <w:trHeight w:val="22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Collateral posted and held by our counterparties</w:t>
            </w:r>
          </w:p>
        </w:tc>
        <w:tc>
          <w:tcPr>
            <w:tcW w:w="1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left="1311"/>
              <w:spacing w:after="0"/>
              <w:rPr>
                <w:sz w:val="20"/>
                <w:szCs w:val="20"/>
                <w:color w:val="auto"/>
              </w:rPr>
            </w:pPr>
            <w:r>
              <w:rPr>
                <w:rFonts w:ascii="Arial" w:cs="Arial" w:eastAsia="Arial" w:hAnsi="Arial"/>
                <w:sz w:val="18"/>
                <w:szCs w:val="18"/>
                <w:color w:val="auto"/>
                <w:w w:val="97"/>
              </w:rPr>
              <w:t>(10.5)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left="1411"/>
              <w:spacing w:after="0"/>
              <w:rPr>
                <w:sz w:val="20"/>
                <w:szCs w:val="20"/>
                <w:color w:val="auto"/>
              </w:rPr>
            </w:pPr>
            <w:r>
              <w:rPr>
                <w:rFonts w:ascii="Arial" w:cs="Arial" w:eastAsia="Arial" w:hAnsi="Arial"/>
                <w:sz w:val="18"/>
                <w:szCs w:val="18"/>
                <w:color w:val="auto"/>
                <w:w w:val="97"/>
              </w:rPr>
              <w:t>(28.7)</w:t>
            </w:r>
          </w:p>
        </w:tc>
        <w:tc>
          <w:tcPr>
            <w:tcW w:w="0" w:type="dxa"/>
            <w:vAlign w:val="bottom"/>
          </w:tcPr>
          <w:p>
            <w:pPr>
              <w:spacing w:after="0"/>
              <w:rPr>
                <w:sz w:val="1"/>
                <w:szCs w:val="1"/>
                <w:color w:val="auto"/>
              </w:rPr>
            </w:pPr>
          </w:p>
        </w:tc>
      </w:tr>
      <w:tr>
        <w:trPr>
          <w:trHeight w:val="24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additional potential collateral requirements</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center"/>
              <w:ind w:left="1331"/>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center"/>
              <w:ind w:left="1411"/>
              <w:spacing w:after="0"/>
              <w:rPr>
                <w:sz w:val="20"/>
                <w:szCs w:val="20"/>
                <w:color w:val="auto"/>
              </w:rPr>
            </w:pPr>
            <w:r>
              <w:rPr>
                <w:rFonts w:ascii="Arial" w:cs="Arial" w:eastAsia="Arial" w:hAnsi="Arial"/>
                <w:sz w:val="18"/>
                <w:szCs w:val="18"/>
                <w:color w:val="auto"/>
                <w:w w:val="96"/>
              </w:rPr>
              <w:t>43.8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911"/>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52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0" w:type="dxa"/>
            <w:vAlign w:val="bottom"/>
            <w:tcBorders>
              <w:bottom w:val="single" w:sz="8" w:color="9A9A9A"/>
            </w:tcBorders>
          </w:tcPr>
          <w:p>
            <w:pPr>
              <w:spacing w:after="0"/>
              <w:rPr>
                <w:sz w:val="19"/>
                <w:szCs w:val="19"/>
                <w:color w:val="auto"/>
              </w:rPr>
            </w:pPr>
          </w:p>
        </w:tc>
        <w:tc>
          <w:tcPr>
            <w:tcW w:w="152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9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0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Fair Value Measurements</w:t>
      </w: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carrying amounts of cash and cash equivalents, net accounts receivable, accounts payable and accrued expenses and other current liabilities approximate fair value based on their short-term maturities. The carrying values of our debt and notes receivable approximate fair value as these instruments bear interest either at variable rates or fixed rates, which are not significantly different from market rates. The fair value measurements for our debt and notes receivable are considered to be Level 2 measurements based on the fair value hierarchy.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information about our gross assets and liabilities that are measured at fair value on a recurring basis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gridSpan w:val="9"/>
          </w:tcPr>
          <w:p>
            <w:pPr>
              <w:jc w:val="right"/>
              <w:ind w:right="171"/>
              <w:spacing w:after="0"/>
              <w:rPr>
                <w:sz w:val="20"/>
                <w:szCs w:val="20"/>
                <w:color w:val="auto"/>
              </w:rPr>
            </w:pPr>
            <w:r>
              <w:rPr>
                <w:rFonts w:ascii="Arial" w:cs="Arial" w:eastAsia="Arial" w:hAnsi="Arial"/>
                <w:sz w:val="18"/>
                <w:szCs w:val="18"/>
                <w:b w:val="1"/>
                <w:bCs w:val="1"/>
                <w:color w:val="auto"/>
              </w:rPr>
              <w:t>Fair Value Measurements as of March 31, 2023</w:t>
            </w:r>
          </w:p>
        </w:tc>
        <w:tc>
          <w:tcPr>
            <w:tcW w:w="1060" w:type="dxa"/>
            <w:vAlign w:val="bottom"/>
            <w:tcBorders>
              <w:bottom w:val="single" w:sz="8" w:color="auto"/>
            </w:tcBorders>
          </w:tcPr>
          <w:p>
            <w:pPr>
              <w:spacing w:after="0"/>
              <w:rPr>
                <w:sz w:val="20"/>
                <w:szCs w:val="20"/>
                <w:color w:val="auto"/>
              </w:rPr>
            </w:pP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 Inputs</w:t>
            </w:r>
          </w:p>
        </w:tc>
        <w:tc>
          <w:tcPr>
            <w:tcW w:w="14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 Inputs</w:t>
            </w: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 Inputs</w:t>
            </w:r>
          </w:p>
        </w:tc>
        <w:tc>
          <w:tcPr>
            <w:tcW w:w="480" w:type="dxa"/>
            <w:vAlign w:val="bottom"/>
          </w:tcPr>
          <w:p>
            <w:pPr>
              <w:spacing w:after="0"/>
              <w:rPr>
                <w:sz w:val="19"/>
                <w:szCs w:val="19"/>
                <w:color w:val="auto"/>
              </w:rPr>
            </w:pPr>
          </w:p>
        </w:tc>
        <w:tc>
          <w:tcPr>
            <w:tcW w:w="1060" w:type="dxa"/>
            <w:vAlign w:val="bottom"/>
          </w:tcPr>
          <w:p>
            <w:pPr>
              <w:jc w:val="right"/>
              <w:ind w:right="471"/>
              <w:spacing w:after="0"/>
              <w:rPr>
                <w:sz w:val="20"/>
                <w:szCs w:val="20"/>
                <w:color w:val="auto"/>
              </w:rPr>
            </w:pPr>
            <w:r>
              <w:rPr>
                <w:rFonts w:ascii="Arial" w:cs="Arial" w:eastAsia="Arial" w:hAnsi="Arial"/>
                <w:sz w:val="18"/>
                <w:szCs w:val="18"/>
                <w:b w:val="1"/>
                <w:bCs w:val="1"/>
                <w:color w:val="auto"/>
              </w:rPr>
              <w:t>Total</w:t>
            </w:r>
          </w:p>
        </w:tc>
      </w:tr>
      <w:tr>
        <w:trPr>
          <w:trHeight w:val="207"/>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6"/>
        </w:trPr>
        <w:tc>
          <w:tcPr>
            <w:tcW w:w="47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496.5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628.2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1,129.5</w:t>
            </w:r>
          </w:p>
        </w:tc>
      </w:tr>
      <w:tr>
        <w:trPr>
          <w:trHeight w:val="22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26"/>
        </w:trPr>
        <w:tc>
          <w:tcPr>
            <w:tcW w:w="470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1"/>
        </w:trPr>
        <w:tc>
          <w:tcPr>
            <w:tcW w:w="470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690.9</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1,192.2</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0"/>
        </w:trPr>
        <w:tc>
          <w:tcPr>
            <w:tcW w:w="4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w:t>
            </w:r>
          </w:p>
        </w:tc>
      </w:tr>
      <w:tr>
        <w:trPr>
          <w:trHeight w:val="226"/>
        </w:trPr>
        <w:tc>
          <w:tcPr>
            <w:tcW w:w="470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46"/>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26"/>
        </w:trPr>
        <w:tc>
          <w:tcPr>
            <w:tcW w:w="4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as of December 31, 2022</w:t>
            </w:r>
          </w:p>
        </w:tc>
        <w:tc>
          <w:tcPr>
            <w:tcW w:w="1060" w:type="dxa"/>
            <w:vAlign w:val="bottom"/>
            <w:tcBorders>
              <w:bottom w:val="single" w:sz="8" w:color="auto"/>
            </w:tcBorders>
          </w:tcPr>
          <w:p>
            <w:pPr>
              <w:spacing w:after="0"/>
              <w:rPr>
                <w:sz w:val="24"/>
                <w:szCs w:val="24"/>
                <w:color w:val="auto"/>
              </w:rPr>
            </w:pPr>
          </w:p>
        </w:tc>
      </w:tr>
      <w:tr>
        <w:trPr>
          <w:trHeight w:val="221"/>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 Inputs</w:t>
            </w:r>
          </w:p>
        </w:tc>
        <w:tc>
          <w:tcPr>
            <w:tcW w:w="14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 Inputs</w:t>
            </w: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 Inputs</w:t>
            </w:r>
          </w:p>
        </w:tc>
        <w:tc>
          <w:tcPr>
            <w:tcW w:w="480" w:type="dxa"/>
            <w:vAlign w:val="bottom"/>
          </w:tcPr>
          <w:p>
            <w:pPr>
              <w:spacing w:after="0"/>
              <w:rPr>
                <w:sz w:val="19"/>
                <w:szCs w:val="19"/>
                <w:color w:val="auto"/>
              </w:rPr>
            </w:pPr>
          </w:p>
        </w:tc>
        <w:tc>
          <w:tcPr>
            <w:tcW w:w="1060" w:type="dxa"/>
            <w:vAlign w:val="bottom"/>
          </w:tcPr>
          <w:p>
            <w:pPr>
              <w:jc w:val="right"/>
              <w:ind w:right="471"/>
              <w:spacing w:after="0"/>
              <w:rPr>
                <w:sz w:val="20"/>
                <w:szCs w:val="20"/>
                <w:color w:val="auto"/>
              </w:rPr>
            </w:pPr>
            <w:r>
              <w:rPr>
                <w:rFonts w:ascii="Arial" w:cs="Arial" w:eastAsia="Arial" w:hAnsi="Arial"/>
                <w:sz w:val="18"/>
                <w:szCs w:val="18"/>
                <w:b w:val="1"/>
                <w:bCs w:val="1"/>
                <w:color w:val="auto"/>
              </w:rPr>
              <w:t>Total</w:t>
            </w:r>
          </w:p>
        </w:tc>
      </w:tr>
      <w:tr>
        <w:trPr>
          <w:trHeight w:val="207"/>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6"/>
        </w:trPr>
        <w:tc>
          <w:tcPr>
            <w:tcW w:w="47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496.2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797.6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1,298.0</w:t>
            </w:r>
          </w:p>
        </w:tc>
      </w:tr>
      <w:tr>
        <w:trPr>
          <w:trHeight w:val="22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6"/>
        </w:trPr>
        <w:tc>
          <w:tcPr>
            <w:tcW w:w="470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1"/>
        </w:trPr>
        <w:tc>
          <w:tcPr>
            <w:tcW w:w="470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861.4</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1,361.8</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0"/>
        </w:trPr>
        <w:tc>
          <w:tcPr>
            <w:tcW w:w="4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1,452.1</w:t>
            </w:r>
          </w:p>
        </w:tc>
      </w:tr>
      <w:tr>
        <w:trPr>
          <w:trHeight w:val="226"/>
        </w:trPr>
        <w:tc>
          <w:tcPr>
            <w:tcW w:w="470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46"/>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3" w:name="page14"/>
    <w:bookmarkEnd w:id="13"/>
    <w:p>
      <w:pPr>
        <w:jc w:val="both"/>
        <w:spacing w:after="0" w:line="250" w:lineRule="auto"/>
        <w:rPr>
          <w:sz w:val="20"/>
          <w:szCs w:val="20"/>
          <w:color w:val="auto"/>
        </w:rPr>
      </w:pPr>
      <w:r>
        <w:rPr>
          <w:rFonts w:ascii="Arial" w:cs="Arial" w:eastAsia="Arial" w:hAnsi="Arial"/>
          <w:sz w:val="18"/>
          <w:szCs w:val="18"/>
          <w:color w:val="auto"/>
        </w:rPr>
        <w:t>We have elected to offset the recognized fair value amounts for multiple derivative instruments executed with the same counterparty in our financial statements when a legal right of offset exists. The following tables summarize those derivative balances subject to the right of offset as presented on our Condensed Consolidated Balance Sheets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w w:val="99"/>
              </w:rPr>
              <w:t>Fair Value as of March 31, 2023</w:t>
            </w:r>
          </w:p>
        </w:tc>
        <w:tc>
          <w:tcPr>
            <w:tcW w:w="1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00"/>
              <w:spacing w:after="0" w:line="168" w:lineRule="exact"/>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40"/>
              <w:spacing w:after="0" w:line="168" w:lineRule="exact"/>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Amounts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3"/>
          </w:tcPr>
          <w:p>
            <w:pPr>
              <w:jc w:val="center"/>
              <w:ind w:right="280"/>
              <w:spacing w:after="0" w:line="168" w:lineRule="exact"/>
              <w:rPr>
                <w:sz w:val="20"/>
                <w:szCs w:val="20"/>
                <w:color w:val="auto"/>
              </w:rPr>
            </w:pPr>
            <w:r>
              <w:rPr>
                <w:rFonts w:ascii="Arial" w:cs="Arial" w:eastAsia="Arial" w:hAnsi="Arial"/>
                <w:sz w:val="18"/>
                <w:szCs w:val="18"/>
                <w:b w:val="1"/>
                <w:bCs w:val="1"/>
                <w:color w:val="auto"/>
                <w:w w:val="99"/>
              </w:rPr>
              <w:t>Gross Amounts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00"/>
              <w:spacing w:after="0" w:line="174" w:lineRule="exact"/>
              <w:rPr>
                <w:sz w:val="20"/>
                <w:szCs w:val="20"/>
                <w:color w:val="auto"/>
              </w:rPr>
            </w:pPr>
            <w:r>
              <w:rPr>
                <w:rFonts w:ascii="Arial" w:cs="Arial" w:eastAsia="Arial" w:hAnsi="Arial"/>
                <w:sz w:val="18"/>
                <w:szCs w:val="18"/>
                <w:b w:val="1"/>
                <w:bCs w:val="1"/>
                <w:color w:val="auto"/>
                <w:w w:val="97"/>
              </w:rPr>
              <w:t>Amounts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140"/>
              <w:spacing w:after="0" w:line="174" w:lineRule="exact"/>
              <w:rPr>
                <w:sz w:val="20"/>
                <w:szCs w:val="20"/>
                <w:color w:val="auto"/>
              </w:rPr>
            </w:pPr>
            <w:r>
              <w:rPr>
                <w:rFonts w:ascii="Arial" w:cs="Arial" w:eastAsia="Arial" w:hAnsi="Arial"/>
                <w:sz w:val="18"/>
                <w:szCs w:val="18"/>
                <w:b w:val="1"/>
                <w:bCs w:val="1"/>
                <w:color w:val="auto"/>
                <w:w w:val="97"/>
              </w:rPr>
              <w:t>Amounts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Collateral</w:t>
            </w:r>
          </w:p>
        </w:tc>
        <w:tc>
          <w:tcPr>
            <w:tcW w:w="160" w:type="dxa"/>
            <w:vAlign w:val="bottom"/>
          </w:tcPr>
          <w:p>
            <w:pPr>
              <w:spacing w:after="0"/>
              <w:rPr>
                <w:sz w:val="15"/>
                <w:szCs w:val="15"/>
                <w:color w:val="auto"/>
              </w:rPr>
            </w:pPr>
          </w:p>
        </w:tc>
        <w:tc>
          <w:tcPr>
            <w:tcW w:w="1740" w:type="dxa"/>
            <w:vAlign w:val="bottom"/>
            <w:gridSpan w:val="3"/>
          </w:tcPr>
          <w:p>
            <w:pPr>
              <w:jc w:val="center"/>
              <w:ind w:right="300"/>
              <w:spacing w:after="0" w:line="174" w:lineRule="exact"/>
              <w:rPr>
                <w:sz w:val="20"/>
                <w:szCs w:val="20"/>
                <w:color w:val="auto"/>
              </w:rPr>
            </w:pPr>
            <w:r>
              <w:rPr>
                <w:rFonts w:ascii="Arial" w:cs="Arial" w:eastAsia="Arial" w:hAnsi="Arial"/>
                <w:sz w:val="18"/>
                <w:szCs w:val="18"/>
                <w:b w:val="1"/>
                <w:bCs w:val="1"/>
                <w:color w:val="auto"/>
                <w:w w:val="99"/>
              </w:rPr>
              <w:t>without Right of</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Net Amounts</w:t>
            </w:r>
          </w:p>
        </w:tc>
        <w:tc>
          <w:tcPr>
            <w:tcW w:w="0" w:type="dxa"/>
            <w:vAlign w:val="bottom"/>
          </w:tcPr>
          <w:p>
            <w:pPr>
              <w:spacing w:after="0"/>
              <w:rPr>
                <w:sz w:val="1"/>
                <w:szCs w:val="1"/>
                <w:color w:val="auto"/>
              </w:rPr>
            </w:pPr>
          </w:p>
        </w:tc>
      </w:tr>
      <w:tr>
        <w:trPr>
          <w:trHeight w:val="239"/>
        </w:trPr>
        <w:tc>
          <w:tcPr>
            <w:tcW w:w="2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Recognized</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Offset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Presented</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9"/>
              </w:rPr>
              <w:t>Offset</w:t>
            </w: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6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1,129.5</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682.3</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447.2</w:t>
            </w:r>
          </w:p>
        </w:tc>
        <w:tc>
          <w:tcPr>
            <w:tcW w:w="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3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28"/>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26"/>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contracts</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0"/>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6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1,189.4</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682.3</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507.1</w:t>
            </w:r>
          </w:p>
        </w:tc>
        <w:tc>
          <w:tcPr>
            <w:tcW w:w="6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ind w:left="13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28"/>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line="206" w:lineRule="exact"/>
              <w:rPr>
                <w:sz w:val="20"/>
                <w:szCs w:val="20"/>
                <w:color w:val="auto"/>
              </w:rPr>
            </w:pPr>
            <w:r>
              <w:rPr>
                <w:rFonts w:ascii="Arial" w:cs="Arial" w:eastAsia="Arial" w:hAnsi="Arial"/>
                <w:sz w:val="18"/>
                <w:szCs w:val="18"/>
                <w:color w:val="auto"/>
              </w:rPr>
              <w:t>Total liabilities at fair value</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1,212.4</w:t>
            </w:r>
          </w:p>
        </w:tc>
        <w:tc>
          <w:tcPr>
            <w:tcW w:w="40" w:type="dxa"/>
            <w:vAlign w:val="bottom"/>
            <w:tcBorders>
              <w:bottom w:val="single" w:sz="8" w:color="auto"/>
            </w:tcBorders>
          </w:tcPr>
          <w:p>
            <w:pPr>
              <w:spacing w:after="0"/>
              <w:rPr>
                <w:sz w:val="19"/>
                <w:szCs w:val="19"/>
                <w:color w:val="auto"/>
              </w:rPr>
            </w:pPr>
          </w:p>
        </w:tc>
        <w:tc>
          <w:tcPr>
            <w:tcW w:w="14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w:t>
            </w:r>
          </w:p>
        </w:tc>
        <w:tc>
          <w:tcPr>
            <w:tcW w:w="40" w:type="dxa"/>
            <w:vAlign w:val="bottom"/>
            <w:tcBorders>
              <w:bottom w:val="single" w:sz="8" w:color="auto"/>
            </w:tcBorders>
          </w:tcPr>
          <w:p>
            <w:pPr>
              <w:spacing w:after="0"/>
              <w:rPr>
                <w:sz w:val="19"/>
                <w:szCs w:val="19"/>
                <w:color w:val="auto"/>
              </w:rPr>
            </w:pPr>
          </w:p>
        </w:tc>
        <w:tc>
          <w:tcPr>
            <w:tcW w:w="14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w:t>
            </w:r>
          </w:p>
        </w:tc>
        <w:tc>
          <w:tcPr>
            <w:tcW w:w="60" w:type="dxa"/>
            <w:vAlign w:val="bottom"/>
            <w:tcBorders>
              <w:bottom w:val="single" w:sz="8" w:color="auto"/>
            </w:tcBorders>
          </w:tcPr>
          <w:p>
            <w:pPr>
              <w:spacing w:after="0"/>
              <w:rPr>
                <w:sz w:val="19"/>
                <w:szCs w:val="19"/>
                <w:color w:val="auto"/>
              </w:rPr>
            </w:pPr>
          </w:p>
        </w:tc>
        <w:tc>
          <w:tcPr>
            <w:tcW w:w="14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5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13"/>
          </w:tcPr>
          <w:p>
            <w:pPr>
              <w:ind w:left="40"/>
              <w:spacing w:after="0"/>
              <w:rPr>
                <w:sz w:val="20"/>
                <w:szCs w:val="20"/>
                <w:color w:val="auto"/>
              </w:rPr>
            </w:pPr>
            <w:r>
              <w:rPr>
                <w:rFonts w:ascii="Arial" w:cs="Arial" w:eastAsia="Arial" w:hAnsi="Arial"/>
                <w:sz w:val="18"/>
                <w:szCs w:val="18"/>
                <w:b w:val="1"/>
                <w:bCs w:val="1"/>
                <w:color w:val="auto"/>
              </w:rPr>
              <w:t>Fair Value as of December 31, 2022</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00"/>
              <w:spacing w:after="0" w:line="168" w:lineRule="exact"/>
              <w:rPr>
                <w:sz w:val="20"/>
                <w:szCs w:val="20"/>
                <w:color w:val="auto"/>
              </w:rPr>
            </w:pPr>
            <w:r>
              <w:rPr>
                <w:rFonts w:ascii="Arial" w:cs="Arial" w:eastAsia="Arial" w:hAnsi="Arial"/>
                <w:sz w:val="18"/>
                <w:szCs w:val="18"/>
                <w:b w:val="1"/>
                <w:bCs w:val="1"/>
                <w:color w:val="auto"/>
                <w:w w:val="96"/>
              </w:rPr>
              <w:t>Gross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8" w:lineRule="exact"/>
              <w:rPr>
                <w:sz w:val="20"/>
                <w:szCs w:val="20"/>
                <w:color w:val="auto"/>
              </w:rPr>
            </w:pPr>
            <w:r>
              <w:rPr>
                <w:rFonts w:ascii="Arial" w:cs="Arial" w:eastAsia="Arial" w:hAnsi="Arial"/>
                <w:sz w:val="18"/>
                <w:szCs w:val="18"/>
                <w:b w:val="1"/>
                <w:bCs w:val="1"/>
                <w:color w:val="auto"/>
                <w:w w:val="96"/>
              </w:rPr>
              <w:t>Gross</w:t>
            </w:r>
          </w:p>
        </w:tc>
        <w:tc>
          <w:tcPr>
            <w:tcW w:w="80" w:type="dxa"/>
            <w:vAlign w:val="bottom"/>
          </w:tcPr>
          <w:p>
            <w:pPr>
              <w:spacing w:after="0"/>
              <w:rPr>
                <w:sz w:val="14"/>
                <w:szCs w:val="14"/>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Net Amounts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3"/>
          </w:tcPr>
          <w:p>
            <w:pPr>
              <w:jc w:val="center"/>
              <w:ind w:right="280"/>
              <w:spacing w:after="0" w:line="168" w:lineRule="exact"/>
              <w:rPr>
                <w:sz w:val="20"/>
                <w:szCs w:val="20"/>
                <w:color w:val="auto"/>
              </w:rPr>
            </w:pPr>
            <w:r>
              <w:rPr>
                <w:rFonts w:ascii="Arial" w:cs="Arial" w:eastAsia="Arial" w:hAnsi="Arial"/>
                <w:sz w:val="18"/>
                <w:szCs w:val="18"/>
                <w:b w:val="1"/>
                <w:bCs w:val="1"/>
                <w:color w:val="auto"/>
                <w:w w:val="99"/>
              </w:rPr>
              <w:t>Gross Amounts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00"/>
              <w:spacing w:after="0" w:line="174" w:lineRule="exact"/>
              <w:rPr>
                <w:sz w:val="20"/>
                <w:szCs w:val="20"/>
                <w:color w:val="auto"/>
              </w:rPr>
            </w:pPr>
            <w:r>
              <w:rPr>
                <w:rFonts w:ascii="Arial" w:cs="Arial" w:eastAsia="Arial" w:hAnsi="Arial"/>
                <w:sz w:val="18"/>
                <w:szCs w:val="18"/>
                <w:b w:val="1"/>
                <w:bCs w:val="1"/>
                <w:color w:val="auto"/>
                <w:w w:val="99"/>
              </w:rPr>
              <w:t>Amounts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line="174" w:lineRule="exact"/>
              <w:rPr>
                <w:sz w:val="20"/>
                <w:szCs w:val="20"/>
                <w:color w:val="auto"/>
              </w:rPr>
            </w:pPr>
            <w:r>
              <w:rPr>
                <w:rFonts w:ascii="Arial" w:cs="Arial" w:eastAsia="Arial" w:hAnsi="Arial"/>
                <w:sz w:val="18"/>
                <w:szCs w:val="18"/>
                <w:b w:val="1"/>
                <w:bCs w:val="1"/>
                <w:color w:val="auto"/>
                <w:w w:val="99"/>
              </w:rPr>
              <w:t>Amounts</w:t>
            </w:r>
          </w:p>
        </w:tc>
        <w:tc>
          <w:tcPr>
            <w:tcW w:w="80" w:type="dxa"/>
            <w:vAlign w:val="bottom"/>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Collateral</w:t>
            </w:r>
          </w:p>
        </w:tc>
        <w:tc>
          <w:tcPr>
            <w:tcW w:w="160" w:type="dxa"/>
            <w:vAlign w:val="bottom"/>
          </w:tcPr>
          <w:p>
            <w:pPr>
              <w:spacing w:after="0"/>
              <w:rPr>
                <w:sz w:val="15"/>
                <w:szCs w:val="15"/>
                <w:color w:val="auto"/>
              </w:rPr>
            </w:pPr>
          </w:p>
        </w:tc>
        <w:tc>
          <w:tcPr>
            <w:tcW w:w="1740" w:type="dxa"/>
            <w:vAlign w:val="bottom"/>
            <w:gridSpan w:val="3"/>
          </w:tcPr>
          <w:p>
            <w:pPr>
              <w:jc w:val="center"/>
              <w:ind w:right="300"/>
              <w:spacing w:after="0" w:line="174" w:lineRule="exact"/>
              <w:rPr>
                <w:sz w:val="20"/>
                <w:szCs w:val="20"/>
                <w:color w:val="auto"/>
              </w:rPr>
            </w:pPr>
            <w:r>
              <w:rPr>
                <w:rFonts w:ascii="Arial" w:cs="Arial" w:eastAsia="Arial" w:hAnsi="Arial"/>
                <w:sz w:val="18"/>
                <w:szCs w:val="18"/>
                <w:b w:val="1"/>
                <w:bCs w:val="1"/>
                <w:color w:val="auto"/>
                <w:w w:val="99"/>
              </w:rPr>
              <w:t>without Right of</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Net Amounts</w:t>
            </w:r>
          </w:p>
        </w:tc>
        <w:tc>
          <w:tcPr>
            <w:tcW w:w="0" w:type="dxa"/>
            <w:vAlign w:val="bottom"/>
          </w:tcPr>
          <w:p>
            <w:pPr>
              <w:spacing w:after="0"/>
              <w:rPr>
                <w:sz w:val="1"/>
                <w:szCs w:val="1"/>
                <w:color w:val="auto"/>
              </w:rPr>
            </w:pPr>
          </w:p>
        </w:tc>
      </w:tr>
      <w:tr>
        <w:trPr>
          <w:trHeight w:val="239"/>
        </w:trPr>
        <w:tc>
          <w:tcPr>
            <w:tcW w:w="2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Recognized</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Offset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gridSpan w:val="3"/>
          </w:tcPr>
          <w:p>
            <w:pPr>
              <w:ind w:left="100"/>
              <w:spacing w:after="0"/>
              <w:rPr>
                <w:sz w:val="20"/>
                <w:szCs w:val="20"/>
                <w:color w:val="auto"/>
              </w:rPr>
            </w:pPr>
            <w:r>
              <w:rPr>
                <w:rFonts w:ascii="Arial" w:cs="Arial" w:eastAsia="Arial" w:hAnsi="Arial"/>
                <w:sz w:val="18"/>
                <w:szCs w:val="18"/>
                <w:b w:val="1"/>
                <w:bCs w:val="1"/>
                <w:color w:val="auto"/>
              </w:rPr>
              <w:t>Presented</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9"/>
              </w:rPr>
              <w:t>Offset</w:t>
            </w: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6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1,298.0</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756.8</w:t>
            </w:r>
          </w:p>
        </w:tc>
        <w:tc>
          <w:tcPr>
            <w:tcW w:w="40" w:type="dxa"/>
            <w:vAlign w:val="bottom"/>
          </w:tcPr>
          <w:p>
            <w:pPr>
              <w:spacing w:after="0"/>
              <w:rPr>
                <w:sz w:val="19"/>
                <w:szCs w:val="19"/>
                <w:color w:val="auto"/>
              </w:rPr>
            </w:pPr>
          </w:p>
        </w:tc>
        <w:tc>
          <w:tcPr>
            <w:tcW w:w="280" w:type="dxa"/>
            <w:vAlign w:val="bottom"/>
            <w:gridSpan w:val="3"/>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541.1</w:t>
            </w:r>
          </w:p>
        </w:tc>
        <w:tc>
          <w:tcPr>
            <w:tcW w:w="60" w:type="dxa"/>
            <w:vAlign w:val="bottom"/>
          </w:tcPr>
          <w:p>
            <w:pPr>
              <w:spacing w:after="0"/>
              <w:rPr>
                <w:sz w:val="19"/>
                <w:szCs w:val="19"/>
                <w:color w:val="auto"/>
              </w:rPr>
            </w:pPr>
          </w:p>
        </w:tc>
        <w:tc>
          <w:tcPr>
            <w:tcW w:w="28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3"/>
          </w:tcPr>
          <w:p>
            <w:pPr>
              <w:ind w:left="13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28"/>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6"/>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contracts</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1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1"/>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1,347.4</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4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w:t>
            </w:r>
          </w:p>
        </w:tc>
        <w:tc>
          <w:tcPr>
            <w:tcW w:w="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3"/>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6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1,452.1</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755.6</w:t>
            </w:r>
          </w:p>
        </w:tc>
        <w:tc>
          <w:tcPr>
            <w:tcW w:w="40" w:type="dxa"/>
            <w:vAlign w:val="bottom"/>
          </w:tcPr>
          <w:p>
            <w:pPr>
              <w:spacing w:after="0"/>
              <w:rPr>
                <w:sz w:val="19"/>
                <w:szCs w:val="19"/>
                <w:color w:val="auto"/>
              </w:rPr>
            </w:pPr>
          </w:p>
        </w:tc>
        <w:tc>
          <w:tcPr>
            <w:tcW w:w="280" w:type="dxa"/>
            <w:vAlign w:val="bottom"/>
            <w:gridSpan w:val="3"/>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696.4</w:t>
            </w:r>
          </w:p>
        </w:tc>
        <w:tc>
          <w:tcPr>
            <w:tcW w:w="60" w:type="dxa"/>
            <w:vAlign w:val="bottom"/>
          </w:tcPr>
          <w:p>
            <w:pPr>
              <w:spacing w:after="0"/>
              <w:rPr>
                <w:sz w:val="19"/>
                <w:szCs w:val="19"/>
                <w:color w:val="auto"/>
              </w:rPr>
            </w:pPr>
          </w:p>
        </w:tc>
        <w:tc>
          <w:tcPr>
            <w:tcW w:w="28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3"/>
          </w:tcPr>
          <w:p>
            <w:pPr>
              <w:ind w:left="13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27"/>
        </w:trPr>
        <w:tc>
          <w:tcPr>
            <w:tcW w:w="2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1"/>
        </w:trPr>
        <w:tc>
          <w:tcPr>
            <w:tcW w:w="256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1,490.8</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777.7</w:t>
            </w:r>
          </w:p>
        </w:tc>
        <w:tc>
          <w:tcPr>
            <w:tcW w:w="40" w:type="dxa"/>
            <w:vAlign w:val="bottom"/>
          </w:tcPr>
          <w:p>
            <w:pPr>
              <w:spacing w:after="0"/>
              <w:rPr>
                <w:sz w:val="19"/>
                <w:szCs w:val="19"/>
                <w:color w:val="auto"/>
              </w:rPr>
            </w:pPr>
          </w:p>
        </w:tc>
        <w:tc>
          <w:tcPr>
            <w:tcW w:w="280" w:type="dxa"/>
            <w:vAlign w:val="bottom"/>
            <w:gridSpan w:val="3"/>
          </w:tcPr>
          <w:p>
            <w:pPr>
              <w:jc w:val="right"/>
              <w:ind w:right="1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713.1</w:t>
            </w:r>
          </w:p>
        </w:tc>
        <w:tc>
          <w:tcPr>
            <w:tcW w:w="60" w:type="dxa"/>
            <w:vAlign w:val="bottom"/>
          </w:tcPr>
          <w:p>
            <w:pPr>
              <w:spacing w:after="0"/>
              <w:rPr>
                <w:sz w:val="19"/>
                <w:szCs w:val="19"/>
                <w:color w:val="auto"/>
              </w:rPr>
            </w:pPr>
          </w:p>
        </w:tc>
        <w:tc>
          <w:tcPr>
            <w:tcW w:w="280" w:type="dxa"/>
            <w:vAlign w:val="bottom"/>
            <w:gridSpan w:val="3"/>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3"/>
          </w:tcPr>
          <w:p>
            <w:pPr>
              <w:ind w:left="13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2023 and December 31, 2022, we did not present any amounts gross on our Condensed Consolidated Balance Sheets where we had the right of offset.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individual over-the-counter ("OTC") counterparty exposure is managed within predetermined credit limits and includes the use of cash-call margins when appropriate, thereby reducing the risk of significant nonperformance. At March 31, 2023, one of our counterparties with a total exposure of $105.2 million represented over 10% of our credit exposure to OTC derivative counterparties, for which we held cash collateral of $21.7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values of nonrecurring assets or liabilities measured using Level 3 inputs were not material as of March 31, 2023 and December 31, 2022,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Debt, Interest Income, Expense, and Other Finance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w:t>
      </w:r>
    </w:p>
    <w:p>
      <w:pPr>
        <w:spacing w:after="0" w:line="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Fourth Amended and Restated Credit Agreement matures in April 2027 and provides for a term loan as well as a revolving credit facility of up to $1.5 billion (the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consists of the following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2023</w:t>
            </w:r>
          </w:p>
        </w:tc>
        <w:tc>
          <w:tcPr>
            <w:tcW w:w="200" w:type="dxa"/>
            <w:vAlign w:val="bottom"/>
          </w:tcPr>
          <w:p>
            <w:pPr>
              <w:spacing w:after="0"/>
              <w:rPr>
                <w:sz w:val="20"/>
                <w:szCs w:val="20"/>
                <w:color w:val="auto"/>
              </w:rPr>
            </w:pPr>
          </w:p>
        </w:tc>
        <w:tc>
          <w:tcPr>
            <w:tcW w:w="2000" w:type="dxa"/>
            <w:vAlign w:val="bottom"/>
          </w:tcPr>
          <w:p>
            <w:pPr>
              <w:jc w:val="right"/>
              <w:ind w:right="211"/>
              <w:spacing w:after="0"/>
              <w:rPr>
                <w:sz w:val="20"/>
                <w:szCs w:val="20"/>
                <w:color w:val="auto"/>
              </w:rPr>
            </w:pPr>
            <w:r>
              <w:rPr>
                <w:rFonts w:ascii="Arial" w:cs="Arial" w:eastAsia="Arial" w:hAnsi="Arial"/>
                <w:sz w:val="18"/>
                <w:szCs w:val="18"/>
                <w:b w:val="1"/>
                <w:bCs w:val="1"/>
                <w:color w:val="auto"/>
              </w:rPr>
              <w:t>December 31, 2022</w:t>
            </w:r>
          </w:p>
        </w:tc>
      </w:tr>
      <w:tr>
        <w:trPr>
          <w:trHeight w:val="221"/>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26"/>
        </w:trPr>
        <w:tc>
          <w:tcPr>
            <w:tcW w:w="6720" w:type="dxa"/>
            <w:vAlign w:val="bottom"/>
          </w:tcPr>
          <w:p>
            <w:pPr>
              <w:ind w:left="20"/>
              <w:spacing w:after="0"/>
              <w:rPr>
                <w:sz w:val="20"/>
                <w:szCs w:val="20"/>
                <w:color w:val="auto"/>
              </w:rPr>
            </w:pPr>
            <w:r>
              <w:rPr>
                <w:rFonts w:ascii="Arial" w:cs="Arial" w:eastAsia="Arial" w:hAnsi="Arial"/>
                <w:sz w:val="18"/>
                <w:szCs w:val="18"/>
                <w:color w:val="auto"/>
              </w:rPr>
              <w:t>Term loan</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485.4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488.4</w:t>
            </w: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r>
      <w:tr>
        <w:trPr>
          <w:trHeight w:val="226"/>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maturities of long-term debt and finance leases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46"/>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2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0" w:type="dxa"/>
            <w:vAlign w:val="bottom"/>
            <w:gridSpan w:val="2"/>
            <w:shd w:val="clear" w:color="auto" w:fill="CCEEFF"/>
          </w:tcPr>
          <w:p>
            <w:pPr>
              <w:jc w:val="right"/>
              <w:ind w:right="129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3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6"/>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and other financing costs</w:t>
            </w:r>
          </w:p>
        </w:tc>
        <w:tc>
          <w:tcPr>
            <w:tcW w:w="2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and other financing costs, net</w:t>
            </w:r>
          </w:p>
        </w:tc>
        <w:tc>
          <w:tcPr>
            <w:tcW w:w="3600" w:type="dxa"/>
            <w:vAlign w:val="bottom"/>
            <w:gridSpan w:val="2"/>
            <w:shd w:val="clear" w:color="auto" w:fill="CCEEFF"/>
          </w:tcPr>
          <w:p>
            <w:pPr>
              <w:jc w:val="right"/>
              <w:ind w:right="1291"/>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143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931"/>
              <w:spacing w:after="0"/>
              <w:rPr>
                <w:sz w:val="20"/>
                <w:szCs w:val="20"/>
                <w:color w:val="auto"/>
              </w:rPr>
            </w:pPr>
            <w:r>
              <w:rPr>
                <w:rFonts w:ascii="Arial" w:cs="Arial" w:eastAsia="Arial" w:hAnsi="Arial"/>
                <w:sz w:val="18"/>
                <w:szCs w:val="18"/>
                <w:color w:val="auto"/>
              </w:rPr>
              <w:t>13</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46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620" w:type="dxa"/>
            <w:vAlign w:val="bottom"/>
            <w:tcBorders>
              <w:bottom w:val="single" w:sz="8" w:color="9A9A9A"/>
            </w:tcBorders>
          </w:tcPr>
          <w:p>
            <w:pPr>
              <w:spacing w:after="0"/>
              <w:rPr>
                <w:sz w:val="19"/>
                <w:szCs w:val="19"/>
                <w:color w:val="auto"/>
              </w:rPr>
            </w:pPr>
          </w:p>
        </w:tc>
        <w:tc>
          <w:tcPr>
            <w:tcW w:w="2120" w:type="dxa"/>
            <w:vAlign w:val="bottom"/>
            <w:tcBorders>
              <w:bottom w:val="single" w:sz="8" w:color="9A9A9A"/>
            </w:tcBorders>
          </w:tcPr>
          <w:p>
            <w:pPr>
              <w:spacing w:after="0"/>
              <w:rPr>
                <w:sz w:val="19"/>
                <w:szCs w:val="19"/>
                <w:color w:val="auto"/>
              </w:rPr>
            </w:pPr>
          </w:p>
        </w:tc>
        <w:tc>
          <w:tcPr>
            <w:tcW w:w="148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62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Revenue from Contracts with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presents our revenues from contracts with customers disaggregated by major geographic areas in which we conduct business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20" w:type="dxa"/>
            <w:vAlign w:val="bottom"/>
          </w:tcPr>
          <w:p>
            <w:pPr>
              <w:spacing w:after="0"/>
              <w:rPr>
                <w:sz w:val="20"/>
                <w:szCs w:val="20"/>
                <w:color w:val="auto"/>
              </w:rPr>
            </w:pPr>
          </w:p>
        </w:tc>
        <w:tc>
          <w:tcPr>
            <w:tcW w:w="4520" w:type="dxa"/>
            <w:vAlign w:val="bottom"/>
            <w:tcBorders>
              <w:bottom w:val="single" w:sz="8" w:color="auto"/>
            </w:tcBorders>
            <w:gridSpan w:val="5"/>
          </w:tcPr>
          <w:p>
            <w:pPr>
              <w:jc w:val="right"/>
              <w:ind w:right="531"/>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21"/>
        </w:trPr>
        <w:tc>
          <w:tcPr>
            <w:tcW w:w="67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b w:val="1"/>
                <w:bCs w:val="1"/>
                <w:color w:val="auto"/>
              </w:rPr>
              <w:t>2022</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1360" w:type="dxa"/>
            <w:vAlign w:val="bottom"/>
            <w:shd w:val="clear" w:color="auto" w:fill="CCEEFF"/>
          </w:tcPr>
          <w:p>
            <w:pPr>
              <w:jc w:val="right"/>
              <w:ind w:right="115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r>
      <w:tr>
        <w:trPr>
          <w:trHeight w:val="226"/>
        </w:trPr>
        <w:tc>
          <w:tcPr>
            <w:tcW w:w="6720" w:type="dxa"/>
            <w:vAlign w:val="bottom"/>
          </w:tcPr>
          <w:p>
            <w:pPr>
              <w:ind w:left="20"/>
              <w:spacing w:after="0"/>
              <w:rPr>
                <w:sz w:val="20"/>
                <w:szCs w:val="20"/>
                <w:color w:val="auto"/>
              </w:rPr>
            </w:pPr>
            <w:r>
              <w:rPr>
                <w:rFonts w:ascii="Arial" w:cs="Arial" w:eastAsia="Arial" w:hAnsi="Arial"/>
                <w:sz w:val="18"/>
                <w:szCs w:val="18"/>
                <w:color w:val="auto"/>
              </w:rPr>
              <w:t>Land</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1,145.4</w:t>
            </w:r>
          </w:p>
        </w:tc>
      </w:tr>
      <w:tr>
        <w:trPr>
          <w:trHeight w:val="220"/>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Asia Pacific</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1,386.9</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1,419.3</w:t>
            </w:r>
          </w:p>
        </w:tc>
      </w:tr>
      <w:tr>
        <w:trPr>
          <w:trHeight w:val="248"/>
        </w:trPr>
        <w:tc>
          <w:tcPr>
            <w:tcW w:w="67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26"/>
        </w:trPr>
        <w:tc>
          <w:tcPr>
            <w:tcW w:w="6720" w:type="dxa"/>
            <w:vAlign w:val="bottom"/>
          </w:tcPr>
          <w:p>
            <w:pPr>
              <w:ind w:left="20"/>
              <w:spacing w:after="0"/>
              <w:rPr>
                <w:sz w:val="20"/>
                <w:szCs w:val="20"/>
                <w:color w:val="auto"/>
              </w:rPr>
            </w:pPr>
            <w:r>
              <w:rPr>
                <w:rFonts w:ascii="Arial" w:cs="Arial" w:eastAsia="Arial" w:hAnsi="Arial"/>
                <w:sz w:val="18"/>
                <w:szCs w:val="18"/>
                <w:color w:val="auto"/>
              </w:rPr>
              <w:t>Aviation</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824.7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641.9</w:t>
            </w: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1,057.1</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w:t>
            </w:r>
          </w:p>
        </w:tc>
      </w:tr>
      <w:tr>
        <w:trPr>
          <w:trHeight w:val="22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831.0</w:t>
            </w:r>
          </w:p>
        </w:tc>
      </w:tr>
      <w:tr>
        <w:trPr>
          <w:trHeight w:val="22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2,407.2</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2,511.3</w:t>
            </w:r>
          </w:p>
        </w:tc>
      </w:tr>
      <w:tr>
        <w:trPr>
          <w:trHeight w:val="248"/>
        </w:trPr>
        <w:tc>
          <w:tcPr>
            <w:tcW w:w="6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w:t>
            </w:r>
          </w:p>
        </w:tc>
      </w:tr>
      <w:tr>
        <w:trPr>
          <w:trHeight w:val="226"/>
        </w:trPr>
        <w:tc>
          <w:tcPr>
            <w:tcW w:w="6720" w:type="dxa"/>
            <w:vAlign w:val="bottom"/>
          </w:tcPr>
          <w:p>
            <w:pPr>
              <w:ind w:left="20"/>
              <w:spacing w:after="0"/>
              <w:rPr>
                <w:sz w:val="20"/>
                <w:szCs w:val="20"/>
                <w:color w:val="auto"/>
              </w:rPr>
            </w:pPr>
            <w:r>
              <w:rPr>
                <w:rFonts w:ascii="Arial" w:cs="Arial" w:eastAsia="Arial" w:hAnsi="Arial"/>
                <w:sz w:val="18"/>
                <w:szCs w:val="18"/>
                <w:color w:val="auto"/>
              </w:rPr>
              <w:t>Land</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198.4</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r>
      <w:tr>
        <w:trPr>
          <w:trHeight w:val="220"/>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LATAM</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1,722.8</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1,430.1</w:t>
            </w:r>
          </w:p>
        </w:tc>
      </w:tr>
      <w:tr>
        <w:trPr>
          <w:trHeight w:val="248"/>
        </w:trPr>
        <w:tc>
          <w:tcPr>
            <w:tcW w:w="67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26"/>
        </w:trPr>
        <w:tc>
          <w:tcPr>
            <w:tcW w:w="6720" w:type="dxa"/>
            <w:vAlign w:val="bottom"/>
          </w:tcPr>
          <w:p>
            <w:pPr>
              <w:ind w:left="20"/>
              <w:spacing w:after="0"/>
              <w:rPr>
                <w:sz w:val="20"/>
                <w:szCs w:val="20"/>
                <w:color w:val="auto"/>
              </w:rPr>
            </w:pPr>
            <w:r>
              <w:rPr>
                <w:rFonts w:ascii="Arial" w:cs="Arial" w:eastAsia="Arial" w:hAnsi="Arial"/>
                <w:sz w:val="18"/>
                <w:szCs w:val="18"/>
                <w:color w:val="auto"/>
              </w:rPr>
              <w:t>Aviation</w:t>
            </w:r>
          </w:p>
        </w:tc>
        <w:tc>
          <w:tcPr>
            <w:tcW w:w="1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3,897.9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3,291.8</w:t>
            </w: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2,707.9</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3,049.6</w:t>
            </w:r>
          </w:p>
        </w:tc>
      </w:tr>
      <w:tr>
        <w:trPr>
          <w:trHeight w:val="226"/>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1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w:t>
            </w:r>
          </w:p>
        </w:tc>
      </w:tr>
      <w:tr>
        <w:trPr>
          <w:trHeight w:val="22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7,051.3</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6,900.8</w:t>
            </w:r>
          </w:p>
        </w:tc>
      </w:tr>
      <w:tr>
        <w:trPr>
          <w:trHeight w:val="248"/>
        </w:trPr>
        <w:tc>
          <w:tcPr>
            <w:tcW w:w="6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27"/>
        </w:trPr>
        <w:tc>
          <w:tcPr>
            <w:tcW w:w="67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Other revenues (excluded from ASC 606) </w:t>
            </w:r>
            <w:r>
              <w:rPr>
                <w:rFonts w:ascii="Arial" w:cs="Arial" w:eastAsia="Arial" w:hAnsi="Arial"/>
                <w:sz w:val="23"/>
                <w:szCs w:val="23"/>
                <w:color w:val="auto"/>
                <w:vertAlign w:val="superscript"/>
              </w:rPr>
              <w:t>(1)</w:t>
            </w:r>
          </w:p>
        </w:tc>
        <w:tc>
          <w:tcPr>
            <w:tcW w:w="1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r>
      <w:tr>
        <w:trPr>
          <w:trHeight w:val="267"/>
        </w:trPr>
        <w:tc>
          <w:tcPr>
            <w:tcW w:w="672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r>
      <w:tr>
        <w:trPr>
          <w:trHeight w:val="24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360" w:type="dxa"/>
            <w:vAlign w:val="bottom"/>
            <w:tcBorders>
              <w:bottom w:val="single" w:sz="8" w:color="auto"/>
            </w:tcBorders>
            <w:shd w:val="clear" w:color="auto" w:fill="CCEEFF"/>
          </w:tcPr>
          <w:p>
            <w:pPr>
              <w:jc w:val="right"/>
              <w:ind w:right="115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12,481.6</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12,382.0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80" w:hanging="273"/>
        <w:spacing w:after="0"/>
        <w:tabs>
          <w:tab w:leader="none" w:pos="28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Includes revenue from derivatives, leases, and other transactions that we account for under separate guidance.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contract assets and contract liabilities</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nature of the receivables related to revenue from contracts with customers and other revenues (excluded from ASC 606) are substantially similar, as they are both generated from transactions with the same type of counterparties (e.g., separate fuel sales and storage lease with the same counterparty) and are entered into utilizing the same credit approval and monitoring procedures for all customers. As such, we believe the risk associated with the cash flows from the different types of receivables is not meaningful to separately disaggregate the accounts receivable balance presented on our Condensed Consolidated Balance Sheets. As of March 31, 2023 and December 31, 2022, the contract assets and contract liabilities recognized by the Company were not material.</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Income Taxes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provision and the respective effective income tax rates are as follows (in millions, except for income tax rates):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20" w:type="dxa"/>
            <w:vAlign w:val="bottom"/>
          </w:tcPr>
          <w:p>
            <w:pPr>
              <w:spacing w:after="0"/>
              <w:rPr>
                <w:sz w:val="20"/>
                <w:szCs w:val="20"/>
                <w:color w:val="auto"/>
              </w:rPr>
            </w:pPr>
          </w:p>
        </w:tc>
        <w:tc>
          <w:tcPr>
            <w:tcW w:w="4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660" w:type="dxa"/>
            <w:vAlign w:val="bottom"/>
            <w:tcBorders>
              <w:bottom w:val="single" w:sz="8" w:color="auto"/>
            </w:tcBorders>
          </w:tcPr>
          <w:p>
            <w:pPr>
              <w:spacing w:after="0"/>
              <w:rPr>
                <w:sz w:val="20"/>
                <w:szCs w:val="20"/>
                <w:color w:val="auto"/>
              </w:rPr>
            </w:pPr>
          </w:p>
        </w:tc>
      </w:tr>
      <w:tr>
        <w:trPr>
          <w:trHeight w:val="221"/>
        </w:trPr>
        <w:tc>
          <w:tcPr>
            <w:tcW w:w="65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r>
      <w:tr>
        <w:trPr>
          <w:trHeight w:val="22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520" w:type="dxa"/>
            <w:vAlign w:val="bottom"/>
            <w:shd w:val="clear" w:color="auto" w:fill="CCEEFF"/>
          </w:tcPr>
          <w:p>
            <w:pPr>
              <w:jc w:val="right"/>
              <w:ind w:right="131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43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6.4</w:t>
            </w:r>
          </w:p>
        </w:tc>
      </w:tr>
      <w:tr>
        <w:trPr>
          <w:trHeight w:val="225"/>
        </w:trPr>
        <w:tc>
          <w:tcPr>
            <w:tcW w:w="65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15.6 %</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19.5 %</w:t>
            </w:r>
          </w:p>
        </w:tc>
      </w:tr>
    </w:tbl>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provision for income taxes for the three months ended March 31, 2023 includes a discrete income tax benefit of $3.8 million, net, which relates to a tax benefit of $3.1 million for the reversal of a valuation allowance previously recorded against a U.S. state's deferred tax assets and a tax benefit of $0.7 million, net, related to other worldwide tax adjustments including changes resulting from tax return filings. For the three months ended March 31, 2022, the provision includes a net discrete income tax benefit of $1.2 million which relates to a tax benefit of $4.1 million for the remeasurement of an uncertain tax position, a tax expense of $2.0 million for changes related to our state apportionment factors and state net operating loss positions, and a tax expense of $0.8 million related to other worldwide adjustments.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income tax provisions for the three months ended March 31, 2023 and 2022 were calculated based on the estimated annual effective income tax rates for the 2023 and 2022 years, respectively. The actual effective income tax rate for the 2023 year may be materially different for several reasons including differences between estimated versus actual results and the geographic tax jurisdictions in which the results are earned.</w:t>
      </w:r>
    </w:p>
    <w:p>
      <w:pPr>
        <w:spacing w:after="0" w:line="1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various tax returns under examination both in the U.S. and foreign jurisdictions. The most material of these is in Denmark for the 2013 - 2019 tax year, where one of our subsidiaries has been under audit since 2018. Through March 31, 2023, we have received final tax assessments for the 2013 and 2014 tax years that were immaterial, a proposed tax assessment for the 2015 tax year of approximately $14.0 million (DKK 96.1 million), and proposed tax assessments for the 2016 and 2017 tax years of approximately $19.5 million (DKK 133.8 million) and $22.6 million (DKK 155.5 million), respectively. We believe these assessments are without merit and are vigorously defending against the actions. We have not yet received any proposed assessments related to the 2018 or 2019 tax years, which could be materially larger than the previous assessments if a similar methodology is applied.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April, 2023, we received notification that the U.S. examinations of our 2017 and 2018 tax years are closed as expected.</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An unfavorable resolution of one or more of the above matters could have a material adverse effect on our operating results or cash flows in the quarter or year in which the adjustments are recorded, or the tax is due or paid. As examinations are still in process or have not yet reached the final stages of the appeals process, the timing of the ultimate resolution or payments that may be required cannot be determined at this time.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4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December 2021, judgments were entered against one of our subsidiaries in the Singapore High Court in companion actions filed by a financing bank of two of our subsidiary’s suppliers. Each of the claims arose out of a financing arrangement between our subsidiary's supplier and the bank. The resulting judgments, including principal and interest, aggregated to approximately $33 million, which we paid to the bank pending the appeals of the Singapore court judgments. In January 2023, we entered into a settlement agreement with the bank pursuant to which the parties settled for approximately $13 million. As a result, we recognized a loss of $6.5 million during the year ended December 31, 2022. Pursuant to the settlement, in the first quarter of 2023 we recovered approximately $20 million in funds we had previously paid to the bank. In connection with the settlement, we have withdrawn our appeals and the parties have exchanged full and final releases in respect of the matters.</w:t>
      </w:r>
    </w:p>
    <w:p>
      <w:pPr>
        <w:spacing w:after="0" w:line="1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From time to time, we are also under review by various domestic and foreign tax authorities regarding indirect tax matters and are involved in various challenges and litigation in a number of countries, including, in particular, South Korea and Brazil, where the amounts in controversy may be material. During 2016 and 2017, the South Korean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7" w:name="page18"/>
    <w:bookmarkEnd w:id="17"/>
    <w:p>
      <w:pPr>
        <w:jc w:val="both"/>
        <w:spacing w:after="0" w:line="249" w:lineRule="auto"/>
        <w:rPr>
          <w:sz w:val="20"/>
          <w:szCs w:val="20"/>
          <w:color w:val="auto"/>
        </w:rPr>
      </w:pPr>
      <w:r>
        <w:rPr>
          <w:rFonts w:ascii="Arial" w:cs="Arial" w:eastAsia="Arial" w:hAnsi="Arial"/>
          <w:sz w:val="18"/>
          <w:szCs w:val="18"/>
          <w:color w:val="auto"/>
        </w:rPr>
        <w:t>branch of one of our subsidiaries received assessments totaling approximately $26.3 million (KRW 34.3 billion) from the regional tax authorities of Seoul, South Korea.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w:t>
      </w:r>
    </w:p>
    <w:p>
      <w:pPr>
        <w:spacing w:after="0" w:line="1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also involved in several tax disputes with federal, state and municipal tax authorities in Brazil, relating primarily to a VAT tax known as ICMS. These disputes are at various stages of the legal process, including the administrative review phase and the collection action phase, and include assessments of fixed amounts of principal and penalties, plus interest. One of our Brazilian subsidiaries is currently contesting an assessment of approximately $12.5 million (BRL 64.1 million) from the Brazilian tax authorities relating to the ICMS rate used for certain transactions. The assessment primarily consists of interest and penalties. We believe that the assessment is without merit and are pursuing our remedies in the judicial court system.</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established loss provisions for claims and other matters in which losses are probable and can be reasonably estimated. As of March 31, 2023, these reserves were not material. For those matters where a reserve has not been established and for which we believe a loss is reasonably possible, we believe that such losses will not have a material adverse effect on our Condensed Consolidated Financial Statements. However, any adverse resolution of one or more such claims, complaints or proceedings during a particular period could have a material adverse effect on our Condensed Consolidated Financial Statements or disclosures for that period.</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Shareholders'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three months ended March 31, 2023, the Company's Board of Directors (the "Board") declared quarterly cash dividends of $0.14 per common share representing $8.6 million in dividends, which were paid on April 21, 2023. During the three months ended March 31, 2022, the Board declared quarterly cash dividends of $0.12 per common share representing $7.6 million in dividends, which were paid on April 8,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Accumulated other comprehensive income (loss) consists of foreign currency translation adjustments related to our subsidiaries that have a functional currency other than the U.S. dollar and unrealized gains (losses) from derivative instruments designated as cash flow hedges. The after-tax changes in Accumulated other comprehensive income (loss) by component were as follows (in millions):</w:t>
      </w:r>
    </w:p>
    <w:p>
      <w:pPr>
        <w:sectPr>
          <w:pgSz w:w="11900" w:h="16838" w:orient="portrait"/>
          <w:cols w:equalWidth="0" w:num="1">
            <w:col w:w="11240"/>
          </w:cols>
          <w:pgMar w:left="320" w:top="11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134225" cy="152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Other comprehensive income (loss) before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7134225" cy="262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262890"/>
                    </a:xfrm>
                    <a:prstGeom prst="rect">
                      <a:avLst/>
                    </a:prstGeom>
                    <a:noFill/>
                  </pic:spPr>
                </pic:pic>
              </a:graphicData>
            </a:graphic>
          </wp:anchor>
        </w:drawing>
      </w:r>
    </w:p>
    <w:p>
      <w:pPr>
        <w:ind w:left="20"/>
        <w:spacing w:after="0" w:line="224" w:lineRule="auto"/>
        <w:rPr>
          <w:sz w:val="20"/>
          <w:szCs w:val="20"/>
          <w:color w:val="auto"/>
        </w:rPr>
      </w:pPr>
      <w:r>
        <w:rPr>
          <w:rFonts w:ascii="Arial" w:cs="Arial" w:eastAsia="Arial" w:hAnsi="Arial"/>
          <w:sz w:val="18"/>
          <w:szCs w:val="18"/>
          <w:color w:val="auto"/>
        </w:rPr>
        <w:t>Amounts reclassified from accumulated other comprehensive income (loss)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March 31, 2023</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8"/>
              </w:rPr>
              <w:t>Foreign Currency</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Accumulated Other</w:t>
            </w: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1580" w:type="dxa"/>
            <w:vAlign w:val="bottom"/>
            <w:gridSpan w:val="2"/>
          </w:tcPr>
          <w:p>
            <w:pPr>
              <w:jc w:val="center"/>
              <w:ind w:right="320"/>
              <w:spacing w:after="0" w:line="177" w:lineRule="exact"/>
              <w:rPr>
                <w:sz w:val="20"/>
                <w:szCs w:val="20"/>
                <w:color w:val="auto"/>
              </w:rPr>
            </w:pPr>
            <w:r>
              <w:rPr>
                <w:rFonts w:ascii="Arial" w:cs="Arial" w:eastAsia="Arial" w:hAnsi="Arial"/>
                <w:sz w:val="18"/>
                <w:szCs w:val="18"/>
                <w:b w:val="1"/>
                <w:bCs w:val="1"/>
                <w:color w:val="auto"/>
                <w:w w:val="96"/>
              </w:rPr>
              <w:t>Translation</w:t>
            </w:r>
          </w:p>
        </w:tc>
        <w:tc>
          <w:tcPr>
            <w:tcW w:w="18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Pr>
          <w:p>
            <w:pPr>
              <w:spacing w:after="0"/>
              <w:rPr>
                <w:sz w:val="15"/>
                <w:szCs w:val="15"/>
                <w:color w:val="auto"/>
              </w:rPr>
            </w:pPr>
          </w:p>
        </w:tc>
        <w:tc>
          <w:tcPr>
            <w:tcW w:w="1680" w:type="dxa"/>
            <w:vAlign w:val="bottom"/>
          </w:tcPr>
          <w:p>
            <w:pPr>
              <w:jc w:val="center"/>
              <w:ind w:right="91"/>
              <w:spacing w:after="0" w:line="177" w:lineRule="exact"/>
              <w:rPr>
                <w:sz w:val="20"/>
                <w:szCs w:val="20"/>
                <w:color w:val="auto"/>
              </w:rPr>
            </w:pPr>
            <w:r>
              <w:rPr>
                <w:rFonts w:ascii="Arial" w:cs="Arial" w:eastAsia="Arial" w:hAnsi="Arial"/>
                <w:sz w:val="18"/>
                <w:szCs w:val="18"/>
                <w:b w:val="1"/>
                <w:bCs w:val="1"/>
                <w:color w:val="auto"/>
                <w:w w:val="99"/>
              </w:rPr>
              <w:t>Comprehensive</w:t>
            </w:r>
          </w:p>
        </w:tc>
        <w:tc>
          <w:tcPr>
            <w:tcW w:w="0" w:type="dxa"/>
            <w:vAlign w:val="bottom"/>
          </w:tcPr>
          <w:p>
            <w:pPr>
              <w:spacing w:after="0"/>
              <w:rPr>
                <w:sz w:val="1"/>
                <w:szCs w:val="1"/>
                <w:color w:val="auto"/>
              </w:rPr>
            </w:pPr>
          </w:p>
        </w:tc>
      </w:tr>
      <w:tr>
        <w:trPr>
          <w:trHeight w:val="236"/>
        </w:trPr>
        <w:tc>
          <w:tcPr>
            <w:tcW w:w="20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Adjustments</w:t>
            </w:r>
          </w:p>
        </w:tc>
        <w:tc>
          <w:tcPr>
            <w:tcW w:w="180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center"/>
              <w:ind w:right="91"/>
              <w:spacing w:after="0"/>
              <w:rPr>
                <w:sz w:val="20"/>
                <w:szCs w:val="20"/>
                <w:color w:val="auto"/>
              </w:rPr>
            </w:pPr>
            <w:r>
              <w:rPr>
                <w:rFonts w:ascii="Arial" w:cs="Arial" w:eastAsia="Arial" w:hAnsi="Arial"/>
                <w:sz w:val="18"/>
                <w:szCs w:val="18"/>
                <w:b w:val="1"/>
                <w:bCs w:val="1"/>
                <w:color w:val="auto"/>
                <w:w w:val="99"/>
              </w:rPr>
              <w:t>Income (Loss)</w:t>
            </w:r>
          </w:p>
        </w:tc>
        <w:tc>
          <w:tcPr>
            <w:tcW w:w="0" w:type="dxa"/>
            <w:vAlign w:val="bottom"/>
          </w:tcPr>
          <w:p>
            <w:pPr>
              <w:spacing w:after="0"/>
              <w:rPr>
                <w:sz w:val="1"/>
                <w:szCs w:val="1"/>
                <w:color w:val="auto"/>
              </w:rPr>
            </w:pPr>
          </w:p>
        </w:tc>
      </w:tr>
      <w:tr>
        <w:trPr>
          <w:trHeight w:val="219"/>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120" w:type="dxa"/>
            <w:vAlign w:val="bottom"/>
          </w:tcPr>
          <w:p>
            <w:pPr>
              <w:spacing w:after="0"/>
              <w:rPr>
                <w:sz w:val="19"/>
                <w:szCs w:val="19"/>
                <w:color w:val="auto"/>
              </w:rPr>
            </w:pPr>
          </w:p>
        </w:tc>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27"/>
        </w:trPr>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14"/>
        </w:trPr>
        <w:tc>
          <w:tcPr>
            <w:tcW w:w="200" w:type="dxa"/>
            <w:vAlign w:val="bottom"/>
          </w:tcPr>
          <w:p>
            <w:pPr>
              <w:spacing w:after="0"/>
              <w:rPr>
                <w:sz w:val="24"/>
                <w:szCs w:val="24"/>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0"/>
        </w:trPr>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60" w:space="340"/>
            <w:col w:w="5440"/>
          </w:cols>
          <w:pgMar w:left="320" w:top="1113" w:right="3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2022</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26"/>
        </w:trPr>
        <w:tc>
          <w:tcPr>
            <w:tcW w:w="550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187"/>
        </w:trPr>
        <w:tc>
          <w:tcPr>
            <w:tcW w:w="550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w w:val="99"/>
              </w:rPr>
              <w:t>Amounts reclassified from accumulated other comprehensive income</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3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21"/>
        </w:trPr>
        <w:tc>
          <w:tcPr>
            <w:tcW w:w="5500" w:type="dxa"/>
            <w:vAlign w:val="bottom"/>
          </w:tcPr>
          <w:p>
            <w:pPr>
              <w:ind w:left="20"/>
              <w:spacing w:after="0"/>
              <w:rPr>
                <w:sz w:val="20"/>
                <w:szCs w:val="20"/>
                <w:color w:val="auto"/>
              </w:rPr>
            </w:pPr>
            <w:r>
              <w:rPr>
                <w:rFonts w:ascii="Arial" w:cs="Arial" w:eastAsia="Arial" w:hAnsi="Arial"/>
                <w:sz w:val="18"/>
                <w:szCs w:val="18"/>
                <w:color w:val="auto"/>
              </w:rPr>
              <w:t>Balance as of March 31, 2022</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19"/>
                <w:szCs w:val="19"/>
                <w:color w:val="auto"/>
              </w:rPr>
            </w:pPr>
          </w:p>
        </w:tc>
        <w:tc>
          <w:tcPr>
            <w:tcW w:w="640" w:type="dxa"/>
            <w:vAlign w:val="bottom"/>
          </w:tcPr>
          <w:p>
            <w:pPr>
              <w:jc w:val="right"/>
              <w:ind w:right="43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19"/>
                <w:szCs w:val="19"/>
                <w:color w:val="auto"/>
              </w:rPr>
            </w:pPr>
          </w:p>
        </w:tc>
        <w:tc>
          <w:tcPr>
            <w:tcW w:w="700" w:type="dxa"/>
            <w:vAlign w:val="bottom"/>
          </w:tcPr>
          <w:p>
            <w:pPr>
              <w:jc w:val="right"/>
              <w:ind w:right="511"/>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99"/>
              </w:rPr>
              <w:t>16</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6"/>
        </w:trPr>
        <w:tc>
          <w:tcPr>
            <w:tcW w:w="550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5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70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Business Segments</w:t>
      </w: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operate in three reportable segments consisting of aviation, land and marine. Our operating segments are determined based on the different markets in which we provide products and services, which are defined primarily by the customers (businesses and governmental) and the products and services provided to those customers. We use Income from operations as our primary measure of profit as we believe it is the most meaningful measure to allocate resources and assess the performance or our segments. Corporate expenses are allocated to the segments based on usage, where possible, or on other factors according to the nature of the activity.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Revenue and Income from operations by reportable segment is as follows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21"/>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b w:val="1"/>
                <w:bCs w:val="1"/>
                <w:color w:val="auto"/>
              </w:rPr>
              <w:t>2022</w:t>
            </w:r>
          </w:p>
        </w:tc>
      </w:tr>
      <w:tr>
        <w:trPr>
          <w:trHeight w:val="22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5,010.5</w:t>
            </w:r>
          </w:p>
        </w:tc>
      </w:tr>
      <w:tr>
        <w:trPr>
          <w:trHeight w:val="226"/>
        </w:trPr>
        <w:tc>
          <w:tcPr>
            <w:tcW w:w="672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3,891.3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4,380.8</w:t>
            </w: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2,367.5</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2,990.6</w:t>
            </w:r>
          </w:p>
        </w:tc>
      </w:tr>
      <w:tr>
        <w:trPr>
          <w:trHeight w:val="221"/>
        </w:trPr>
        <w:tc>
          <w:tcPr>
            <w:tcW w:w="67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12,481.6</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12,382.0</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34"/>
        </w:trPr>
        <w:tc>
          <w:tcPr>
            <w:tcW w:w="6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26"/>
        </w:trPr>
        <w:tc>
          <w:tcPr>
            <w:tcW w:w="67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8"/>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6"/>
        </w:trPr>
        <w:tc>
          <w:tcPr>
            <w:tcW w:w="672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28"/>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6"/>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overhead - unallocated</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46"/>
        </w:trPr>
        <w:tc>
          <w:tcPr>
            <w:tcW w:w="6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income from operations</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concerning our Accounts receivable, net of allowance for credit losses and Total assets by reportable segment is as follows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2023</w:t>
            </w:r>
          </w:p>
        </w:tc>
        <w:tc>
          <w:tcPr>
            <w:tcW w:w="200" w:type="dxa"/>
            <w:vAlign w:val="bottom"/>
          </w:tcPr>
          <w:p>
            <w:pPr>
              <w:spacing w:after="0"/>
              <w:rPr>
                <w:sz w:val="20"/>
                <w:szCs w:val="20"/>
                <w:color w:val="auto"/>
              </w:rPr>
            </w:pPr>
          </w:p>
        </w:tc>
        <w:tc>
          <w:tcPr>
            <w:tcW w:w="2000" w:type="dxa"/>
            <w:vAlign w:val="bottom"/>
          </w:tcPr>
          <w:p>
            <w:pPr>
              <w:jc w:val="right"/>
              <w:ind w:right="211"/>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208"/>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720" w:type="dxa"/>
            <w:vAlign w:val="bottom"/>
          </w:tcPr>
          <w:p>
            <w:pPr>
              <w:ind w:left="20"/>
              <w:spacing w:after="0" w:line="186" w:lineRule="exact"/>
              <w:rPr>
                <w:sz w:val="20"/>
                <w:szCs w:val="20"/>
                <w:color w:val="auto"/>
              </w:rPr>
            </w:pPr>
            <w:r>
              <w:rPr>
                <w:rFonts w:ascii="Arial" w:cs="Arial" w:eastAsia="Arial" w:hAnsi="Arial"/>
                <w:sz w:val="18"/>
                <w:szCs w:val="18"/>
                <w:color w:val="auto"/>
              </w:rPr>
              <w:t>Aviation segment, net of allowance for credit losses of $5.5 and $4.9 as of</w:t>
            </w: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March 31, 2023 and December 31, 2022, respectively</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1,579.1</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1,452.4</w:t>
            </w:r>
          </w:p>
        </w:tc>
        <w:tc>
          <w:tcPr>
            <w:tcW w:w="0" w:type="dxa"/>
            <w:vAlign w:val="bottom"/>
          </w:tcPr>
          <w:p>
            <w:pPr>
              <w:spacing w:after="0"/>
              <w:rPr>
                <w:sz w:val="1"/>
                <w:szCs w:val="1"/>
                <w:color w:val="auto"/>
              </w:rPr>
            </w:pPr>
          </w:p>
        </w:tc>
      </w:tr>
      <w:tr>
        <w:trPr>
          <w:trHeight w:val="187"/>
        </w:trPr>
        <w:tc>
          <w:tcPr>
            <w:tcW w:w="672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Land segment, net of allowance for credit losses of $5.8 and $5.8 as of March 31,</w:t>
            </w:r>
          </w:p>
        </w:tc>
        <w:tc>
          <w:tcPr>
            <w:tcW w:w="2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and December 31, 2022, respectively</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1,141.9</w:t>
            </w:r>
          </w:p>
        </w:tc>
        <w:tc>
          <w:tcPr>
            <w:tcW w:w="0" w:type="dxa"/>
            <w:vAlign w:val="bottom"/>
          </w:tcPr>
          <w:p>
            <w:pPr>
              <w:spacing w:after="0"/>
              <w:rPr>
                <w:sz w:val="1"/>
                <w:szCs w:val="1"/>
                <w:color w:val="auto"/>
              </w:rPr>
            </w:pPr>
          </w:p>
        </w:tc>
      </w:tr>
      <w:tr>
        <w:trPr>
          <w:trHeight w:val="186"/>
        </w:trPr>
        <w:tc>
          <w:tcPr>
            <w:tcW w:w="6720" w:type="dxa"/>
            <w:vAlign w:val="bottom"/>
          </w:tcPr>
          <w:p>
            <w:pPr>
              <w:ind w:left="20"/>
              <w:spacing w:after="0" w:line="186" w:lineRule="exact"/>
              <w:rPr>
                <w:sz w:val="20"/>
                <w:szCs w:val="20"/>
                <w:color w:val="auto"/>
              </w:rPr>
            </w:pPr>
            <w:r>
              <w:rPr>
                <w:rFonts w:ascii="Arial" w:cs="Arial" w:eastAsia="Arial" w:hAnsi="Arial"/>
                <w:sz w:val="18"/>
                <w:szCs w:val="18"/>
                <w:color w:val="auto"/>
              </w:rPr>
              <w:t>Marine segment, net of allowance for credit losses of $3.2 and $3.4 as of</w:t>
            </w: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March 31, 2023 and December 31, 2022, respectively</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accounts receivable, net</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2,997.2</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ind w:left="140"/>
              <w:spacing w:after="0"/>
              <w:rPr>
                <w:sz w:val="20"/>
                <w:szCs w:val="20"/>
                <w:color w:val="auto"/>
              </w:rPr>
            </w:pPr>
            <w:r>
              <w:rPr>
                <w:rFonts w:ascii="Arial" w:cs="Arial" w:eastAsia="Arial" w:hAnsi="Arial"/>
                <w:sz w:val="18"/>
                <w:szCs w:val="18"/>
                <w:color w:val="auto"/>
              </w:rPr>
              <w:t>Aviation segment</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2,965.7</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3,036.2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segment</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3,710.1</w:t>
            </w:r>
          </w:p>
        </w:tc>
        <w:tc>
          <w:tcPr>
            <w:tcW w:w="0" w:type="dxa"/>
            <w:vAlign w:val="bottom"/>
          </w:tcPr>
          <w:p>
            <w:pPr>
              <w:spacing w:after="0"/>
              <w:rPr>
                <w:sz w:val="1"/>
                <w:szCs w:val="1"/>
                <w:color w:val="auto"/>
              </w:rPr>
            </w:pPr>
          </w:p>
        </w:tc>
      </w:tr>
      <w:tr>
        <w:trPr>
          <w:trHeight w:val="226"/>
        </w:trPr>
        <w:tc>
          <w:tcPr>
            <w:tcW w:w="6720" w:type="dxa"/>
            <w:vAlign w:val="bottom"/>
          </w:tcPr>
          <w:p>
            <w:pPr>
              <w:ind w:left="140"/>
              <w:spacing w:after="0"/>
              <w:rPr>
                <w:sz w:val="20"/>
                <w:szCs w:val="20"/>
                <w:color w:val="auto"/>
              </w:rPr>
            </w:pPr>
            <w:r>
              <w:rPr>
                <w:rFonts w:ascii="Arial" w:cs="Arial" w:eastAsia="Arial" w:hAnsi="Arial"/>
                <w:sz w:val="18"/>
                <w:szCs w:val="18"/>
                <w:color w:val="auto"/>
              </w:rPr>
              <w:t>Marine segment</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818.2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1,007.4</w:t>
            </w:r>
          </w:p>
        </w:tc>
        <w:tc>
          <w:tcPr>
            <w:tcW w:w="0" w:type="dxa"/>
            <w:vAlign w:val="bottom"/>
          </w:tcPr>
          <w:p>
            <w:pPr>
              <w:spacing w:after="0"/>
              <w:rPr>
                <w:sz w:val="1"/>
                <w:szCs w:val="1"/>
                <w:color w:val="auto"/>
              </w:rPr>
            </w:pP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21"/>
        </w:trPr>
        <w:tc>
          <w:tcPr>
            <w:tcW w:w="672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7,485.8</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8,164.6</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5520"/>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3"/>
        </w:trPr>
        <w:tc>
          <w:tcPr>
            <w:tcW w:w="6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2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9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0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12. Earnings Per Common Share</w:t>
      </w:r>
    </w:p>
    <w:p>
      <w:pPr>
        <w:spacing w:after="0" w:line="2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40" w:type="dxa"/>
            <w:vAlign w:val="bottom"/>
          </w:tcPr>
          <w:p>
            <w:pPr>
              <w:spacing w:after="0"/>
              <w:rPr>
                <w:sz w:val="20"/>
                <w:szCs w:val="20"/>
                <w:color w:val="auto"/>
              </w:rPr>
            </w:pPr>
          </w:p>
        </w:tc>
        <w:tc>
          <w:tcPr>
            <w:tcW w:w="398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8"/>
                <w:szCs w:val="18"/>
                <w:b w:val="1"/>
                <w:bCs w:val="1"/>
                <w:color w:val="auto"/>
              </w:rPr>
              <w:t>For the Three Months Ended March 31,</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7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7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Numerator:</w:t>
            </w:r>
          </w:p>
        </w:tc>
        <w:tc>
          <w:tcPr>
            <w:tcW w:w="1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740" w:type="dxa"/>
            <w:vAlign w:val="bottom"/>
          </w:tcPr>
          <w:p>
            <w:pPr>
              <w:ind w:left="140"/>
              <w:spacing w:after="0"/>
              <w:rPr>
                <w:sz w:val="20"/>
                <w:szCs w:val="20"/>
                <w:color w:val="auto"/>
              </w:rPr>
            </w:pPr>
            <w:r>
              <w:rPr>
                <w:rFonts w:ascii="Arial" w:cs="Arial" w:eastAsia="Arial" w:hAnsi="Arial"/>
                <w:sz w:val="18"/>
                <w:szCs w:val="18"/>
                <w:color w:val="auto"/>
              </w:rPr>
              <w:t>Net income attributable to World Fuel</w:t>
            </w:r>
          </w:p>
        </w:tc>
        <w:tc>
          <w:tcPr>
            <w:tcW w:w="1520" w:type="dxa"/>
            <w:vAlign w:val="bottom"/>
            <w:tcBorders>
              <w:bottom w:val="single" w:sz="8" w:color="auto"/>
            </w:tcBorders>
          </w:tcPr>
          <w:p>
            <w:pPr>
              <w:jc w:val="right"/>
              <w:ind w:right="1331"/>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9"/>
                <w:szCs w:val="19"/>
                <w:color w:val="auto"/>
              </w:rPr>
            </w:pPr>
          </w:p>
        </w:tc>
        <w:tc>
          <w:tcPr>
            <w:tcW w:w="1660" w:type="dxa"/>
            <w:vAlign w:val="bottom"/>
            <w:tcBorders>
              <w:bottom w:val="single" w:sz="8" w:color="auto"/>
            </w:tcBorders>
          </w:tcPr>
          <w:p>
            <w:pPr>
              <w:jc w:val="right"/>
              <w:ind w:right="147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4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color w:val="auto"/>
              </w:rPr>
              <w:t>Denominator:</w:t>
            </w:r>
          </w:p>
        </w:tc>
        <w:tc>
          <w:tcPr>
            <w:tcW w:w="15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740" w:type="dxa"/>
            <w:vAlign w:val="bottom"/>
          </w:tcPr>
          <w:p>
            <w:pPr>
              <w:ind w:left="140"/>
              <w:spacing w:after="0"/>
              <w:rPr>
                <w:sz w:val="20"/>
                <w:szCs w:val="20"/>
                <w:color w:val="auto"/>
              </w:rPr>
            </w:pPr>
            <w:r>
              <w:rPr>
                <w:rFonts w:ascii="Arial" w:cs="Arial" w:eastAsia="Arial" w:hAnsi="Arial"/>
                <w:sz w:val="18"/>
                <w:szCs w:val="18"/>
                <w:color w:val="auto"/>
              </w:rPr>
              <w:t>Weighted average common shares for basic earnings per common share</w:t>
            </w:r>
          </w:p>
        </w:tc>
        <w:tc>
          <w:tcPr>
            <w:tcW w:w="1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7"/>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15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1"/>
        </w:trPr>
        <w:tc>
          <w:tcPr>
            <w:tcW w:w="6740" w:type="dxa"/>
            <w:vAlign w:val="bottom"/>
          </w:tcPr>
          <w:p>
            <w:pPr>
              <w:ind w:left="140"/>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1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1520" w:type="dxa"/>
            <w:vAlign w:val="bottom"/>
            <w:tcBorders>
              <w:bottom w:val="single" w:sz="8" w:color="auto"/>
            </w:tcBorders>
            <w:shd w:val="clear" w:color="auto" w:fill="CCEEFF"/>
          </w:tcPr>
          <w:p>
            <w:pPr>
              <w:jc w:val="right"/>
              <w:ind w:right="1331"/>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147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40" w:type="dxa"/>
            <w:vAlign w:val="bottom"/>
          </w:tcPr>
          <w:p>
            <w:pPr>
              <w:ind w:left="20"/>
              <w:spacing w:after="0" w:line="201" w:lineRule="exact"/>
              <w:rPr>
                <w:sz w:val="20"/>
                <w:szCs w:val="20"/>
                <w:color w:val="auto"/>
              </w:rPr>
            </w:pPr>
            <w:r>
              <w:rPr>
                <w:rFonts w:ascii="Arial" w:cs="Arial" w:eastAsia="Arial" w:hAnsi="Arial"/>
                <w:sz w:val="18"/>
                <w:szCs w:val="18"/>
                <w:color w:val="auto"/>
              </w:rPr>
              <w:t>Diluted earnings (loss) per common share</w:t>
            </w:r>
          </w:p>
        </w:tc>
        <w:tc>
          <w:tcPr>
            <w:tcW w:w="1520" w:type="dxa"/>
            <w:vAlign w:val="bottom"/>
            <w:tcBorders>
              <w:bottom w:val="single" w:sz="8" w:color="auto"/>
            </w:tcBorders>
          </w:tcPr>
          <w:p>
            <w:pPr>
              <w:jc w:val="right"/>
              <w:ind w:right="1331"/>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0.36</w:t>
            </w:r>
          </w:p>
        </w:tc>
        <w:tc>
          <w:tcPr>
            <w:tcW w:w="140" w:type="dxa"/>
            <w:vAlign w:val="bottom"/>
          </w:tcPr>
          <w:p>
            <w:pPr>
              <w:spacing w:after="0"/>
              <w:rPr>
                <w:sz w:val="17"/>
                <w:szCs w:val="17"/>
                <w:color w:val="auto"/>
              </w:rPr>
            </w:pPr>
          </w:p>
        </w:tc>
        <w:tc>
          <w:tcPr>
            <w:tcW w:w="1660" w:type="dxa"/>
            <w:vAlign w:val="bottom"/>
            <w:tcBorders>
              <w:bottom w:val="single" w:sz="8" w:color="auto"/>
            </w:tcBorders>
          </w:tcPr>
          <w:p>
            <w:pPr>
              <w:jc w:val="right"/>
              <w:ind w:right="1471"/>
              <w:spacing w:after="0" w:line="201"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740" w:type="dxa"/>
            <w:vAlign w:val="bottom"/>
            <w:shd w:val="clear" w:color="auto" w:fill="CCEEFF"/>
          </w:tcPr>
          <w:p>
            <w:pPr>
              <w:ind w:left="20"/>
              <w:spacing w:after="0" w:line="153" w:lineRule="exact"/>
              <w:rPr>
                <w:sz w:val="20"/>
                <w:szCs w:val="20"/>
                <w:color w:val="auto"/>
              </w:rPr>
            </w:pPr>
            <w:r>
              <w:rPr>
                <w:rFonts w:ascii="Arial" w:cs="Arial" w:eastAsia="Arial" w:hAnsi="Arial"/>
                <w:sz w:val="17"/>
                <w:szCs w:val="17"/>
                <w:color w:val="auto"/>
              </w:rPr>
              <w:t>Weighted average securities which are not included in the calculation of diluted</w:t>
            </w:r>
          </w:p>
        </w:tc>
        <w:tc>
          <w:tcPr>
            <w:tcW w:w="15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74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earnings per common share because their impact is anti-dilutive or their</w:t>
            </w:r>
          </w:p>
        </w:tc>
        <w:tc>
          <w:tcPr>
            <w:tcW w:w="15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8"/>
        </w:trPr>
        <w:tc>
          <w:tcPr>
            <w:tcW w:w="6740" w:type="dxa"/>
            <w:vAlign w:val="bottom"/>
            <w:tcBorders>
              <w:bottom w:val="single" w:sz="8" w:color="CCEEFF"/>
            </w:tcBorders>
            <w:shd w:val="clear" w:color="auto" w:fill="CCEEFF"/>
          </w:tcPr>
          <w:p>
            <w:pPr>
              <w:ind w:left="20"/>
              <w:spacing w:after="0" w:line="188" w:lineRule="exact"/>
              <w:rPr>
                <w:sz w:val="20"/>
                <w:szCs w:val="20"/>
                <w:color w:val="auto"/>
              </w:rPr>
            </w:pPr>
            <w:r>
              <w:rPr>
                <w:rFonts w:ascii="Arial" w:cs="Arial" w:eastAsia="Arial" w:hAnsi="Arial"/>
                <w:sz w:val="18"/>
                <w:szCs w:val="18"/>
                <w:color w:val="auto"/>
              </w:rPr>
              <w:t>performance conditions have not been met</w:t>
            </w:r>
          </w:p>
        </w:tc>
        <w:tc>
          <w:tcPr>
            <w:tcW w:w="15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0" w:name="page21"/>
    <w:bookmarkEnd w:id="20"/>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following discussion should be read in conjunction with our 2022 10-K Report and the unaudited Condensed Consolidated Financial Statements and related Notes in Item 1 – Financial Statements of this 10-Q Report. A reference to a "Note" herein refers to the accompanying Notes to the Condensed Consolidated Financial Statements contained in Item 1 – Financial Statements. The following discussion may contain forward-looking statements, and our actual results may differ materially from the results suggested by these forward-looking statements. Some factors that may cause our results to differ are disclosed in Item 1A – Risk Factors of our 2022 10-K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This 10-Q Report and the information incorporated by reference in it, or made by us in other reports, filings with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10-Q Report includes forward-looking statements regarding (i) the conditions in the aviation, land, and marine markets and their impact on our business, (ii) growth strategies, the impact of fuel prices and our working capital, liquidity, and capital expenditure requirements, (iii) our expectations and estimates regarding tax, legal and accounting matters, including the impact on our financial statements, (iv) our expectations regarding the financial impact and other benefits of previous acquisitions, (v) estimates regarding the financial impact of our derivative contracts, and (vi) our role in the transition to lower carbon alternatives and the impact of our services on such transition. These forward-looking statements are qualified in their entirety by cautionary statements and risk factor disclosures contained in our SEC filings.</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10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96" w:lineRule="exact"/>
        <w:rPr>
          <w:sz w:val="20"/>
          <w:szCs w:val="20"/>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sudden changes in the market price of fuel or extremely high or low fuel prices that continue for an extended period of time;</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inability to effectively mitigate certain financial risks and other risks associated with derivatives and our physical fuel products;</w:t>
      </w:r>
    </w:p>
    <w:p>
      <w:pPr>
        <w:spacing w:after="0" w:line="113" w:lineRule="exact"/>
        <w:rPr>
          <w:rFonts w:ascii="Arial" w:cs="Arial" w:eastAsia="Arial" w:hAnsi="Arial"/>
          <w:sz w:val="18"/>
          <w:szCs w:val="18"/>
          <w:color w:val="auto"/>
        </w:rPr>
      </w:pPr>
    </w:p>
    <w:p>
      <w:pPr>
        <w:ind w:left="640" w:right="20" w:hanging="313"/>
        <w:spacing w:after="0" w:line="25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relationships with our employees and potential labor disputes associated with employees covered by collective bargaining agreements;</w:t>
      </w:r>
    </w:p>
    <w:p>
      <w:pPr>
        <w:spacing w:after="0" w:line="95" w:lineRule="exact"/>
        <w:rPr>
          <w:rFonts w:ascii="Arial" w:cs="Arial" w:eastAsia="Arial" w:hAnsi="Arial"/>
          <w:sz w:val="18"/>
          <w:szCs w:val="18"/>
          <w:color w:val="auto"/>
        </w:rPr>
      </w:pPr>
    </w:p>
    <w:p>
      <w:pPr>
        <w:ind w:left="640" w:hanging="313"/>
        <w:spacing w:after="0" w:line="25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governing our senior revolving credit facility ("Credit Facility") and our senior term loan, including financial covenants;</w:t>
      </w:r>
    </w:p>
    <w:p>
      <w:pPr>
        <w:spacing w:after="0" w:line="95"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 related incidents;</w:t>
      </w:r>
    </w:p>
    <w:p>
      <w:pPr>
        <w:spacing w:after="0" w:line="113" w:lineRule="exact"/>
        <w:rPr>
          <w:rFonts w:ascii="Arial" w:cs="Arial" w:eastAsia="Arial" w:hAnsi="Arial"/>
          <w:sz w:val="18"/>
          <w:szCs w:val="18"/>
          <w:color w:val="auto"/>
        </w:rPr>
      </w:pPr>
    </w:p>
    <w:p>
      <w:pPr>
        <w:ind w:left="640" w:hanging="313"/>
        <w:spacing w:after="0" w:line="25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political, economic or regulatory environment generally and in the markets in which we operate, such as the current conflict in Eastern Europe;</w:t>
      </w:r>
    </w:p>
    <w:p>
      <w:pPr>
        <w:spacing w:after="0" w:line="95" w:lineRule="exact"/>
        <w:rPr>
          <w:rFonts w:ascii="Arial" w:cs="Arial" w:eastAsia="Arial" w:hAnsi="Arial"/>
          <w:sz w:val="18"/>
          <w:szCs w:val="18"/>
          <w:color w:val="auto"/>
        </w:rPr>
      </w:pPr>
    </w:p>
    <w:p>
      <w:pPr>
        <w:jc w:val="both"/>
        <w:ind w:left="640" w:hanging="313"/>
        <w:spacing w:after="0" w:line="251"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w:t>
      </w:r>
    </w:p>
    <w:p>
      <w:pPr>
        <w:spacing w:after="0" w:line="97"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1" w:name="page22"/>
    <w:bookmarkEnd w:id="21"/>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113" w:lineRule="exact"/>
        <w:rPr>
          <w:rFonts w:ascii="Arial" w:cs="Arial" w:eastAsia="Arial" w:hAnsi="Arial"/>
          <w:sz w:val="18"/>
          <w:szCs w:val="18"/>
          <w:color w:val="auto"/>
        </w:rPr>
      </w:pPr>
    </w:p>
    <w:p>
      <w:pPr>
        <w:ind w:left="640" w:hanging="313"/>
        <w:spacing w:after="0" w:line="25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lower than expected cash flows and revenues, which could impair our ability to realize the value of recorded intangible assets and goodwill;</w:t>
      </w:r>
    </w:p>
    <w:p>
      <w:pPr>
        <w:spacing w:after="0" w:line="95"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113" w:lineRule="exact"/>
        <w:rPr>
          <w:rFonts w:ascii="Arial" w:cs="Arial" w:eastAsia="Arial" w:hAnsi="Arial"/>
          <w:sz w:val="18"/>
          <w:szCs w:val="18"/>
          <w:color w:val="auto"/>
        </w:rPr>
      </w:pPr>
    </w:p>
    <w:p>
      <w:pPr>
        <w:ind w:left="640" w:hanging="313"/>
        <w:spacing w:after="0" w:line="25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inflationary pressures and their impact on our customers or the global economy, including sudden or significant increases in interest rates or a global recession;</w:t>
      </w:r>
    </w:p>
    <w:p>
      <w:pPr>
        <w:spacing w:after="0" w:line="95"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leverage technology and operating systems and realize the anticipated benefits;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meet fuel and other product specifications agreed with our customers;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113" w:lineRule="exact"/>
        <w:rPr>
          <w:rFonts w:ascii="Arial" w:cs="Arial" w:eastAsia="Arial" w:hAnsi="Arial"/>
          <w:sz w:val="18"/>
          <w:szCs w:val="18"/>
          <w:color w:val="auto"/>
        </w:rPr>
      </w:pPr>
    </w:p>
    <w:p>
      <w:pPr>
        <w:ind w:left="640" w:hanging="313"/>
        <w:spacing w:after="0" w:line="25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reputational harm from adverse publicity arising out of spills, environmental contamination or public perception about the impacts on climate change by us or other companies in our industry;</w:t>
      </w:r>
    </w:p>
    <w:p>
      <w:pPr>
        <w:spacing w:after="0" w:line="95" w:lineRule="exact"/>
        <w:rPr>
          <w:rFonts w:ascii="Arial" w:cs="Arial" w:eastAsia="Arial" w:hAnsi="Arial"/>
          <w:sz w:val="18"/>
          <w:szCs w:val="18"/>
          <w:color w:val="auto"/>
        </w:rPr>
      </w:pPr>
    </w:p>
    <w:p>
      <w:pPr>
        <w:ind w:left="640" w:right="20" w:hanging="313"/>
        <w:spacing w:after="0" w:line="25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closures and other logistical difficulties that arise when working in these areas;</w:t>
      </w:r>
    </w:p>
    <w:p>
      <w:pPr>
        <w:spacing w:after="0" w:line="95"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uninsured or underinsured losses;</w:t>
      </w:r>
    </w:p>
    <w:p>
      <w:pPr>
        <w:spacing w:after="0" w:line="113" w:lineRule="exact"/>
        <w:rPr>
          <w:rFonts w:ascii="Arial" w:cs="Arial" w:eastAsia="Arial" w:hAnsi="Arial"/>
          <w:sz w:val="18"/>
          <w:szCs w:val="18"/>
          <w:color w:val="auto"/>
        </w:rPr>
      </w:pPr>
    </w:p>
    <w:p>
      <w:pPr>
        <w:ind w:left="640" w:right="20" w:hanging="313"/>
        <w:spacing w:after="0" w:line="25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 as well as the impact of natural disasters, such as earthquakes, hurricanes and wildfires;</w:t>
      </w:r>
    </w:p>
    <w:p>
      <w:pPr>
        <w:spacing w:after="0" w:line="95"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113" w:lineRule="exact"/>
        <w:rPr>
          <w:rFonts w:ascii="Arial" w:cs="Arial" w:eastAsia="Arial" w:hAnsi="Arial"/>
          <w:sz w:val="18"/>
          <w:szCs w:val="18"/>
          <w:color w:val="auto"/>
        </w:rPr>
      </w:pPr>
    </w:p>
    <w:p>
      <w:pPr>
        <w:ind w:left="640" w:hanging="313"/>
        <w:spacing w:after="0" w:line="25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U.S. or foreign tax laws, interpretations of such laws, changes in the mix of taxable income among different tax jurisdictions, or adverse results of tax audits, assessments, or disputes;</w:t>
      </w:r>
    </w:p>
    <w:p>
      <w:pPr>
        <w:spacing w:after="0" w:line="95" w:lineRule="exact"/>
        <w:rPr>
          <w:rFonts w:ascii="Arial" w:cs="Arial" w:eastAsia="Arial" w:hAnsi="Arial"/>
          <w:sz w:val="18"/>
          <w:szCs w:val="18"/>
          <w:color w:val="auto"/>
        </w:rPr>
      </w:pPr>
    </w:p>
    <w:p>
      <w:pPr>
        <w:ind w:left="640" w:right="20" w:hanging="313"/>
        <w:spacing w:after="0" w:line="25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generate sufficient future taxable income in jurisdictions with material deferred tax assets and net operating loss carryforwards;</w:t>
      </w:r>
    </w:p>
    <w:p>
      <w:pPr>
        <w:spacing w:after="0" w:line="95"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U.K.'s exit from the European Union, known as Brexit, on our business, operations and financial condition;</w:t>
      </w:r>
    </w:p>
    <w:p>
      <w:pPr>
        <w:spacing w:after="0" w:line="113" w:lineRule="exact"/>
        <w:rPr>
          <w:rFonts w:ascii="Arial" w:cs="Arial" w:eastAsia="Arial" w:hAnsi="Arial"/>
          <w:sz w:val="18"/>
          <w:szCs w:val="18"/>
          <w:color w:val="auto"/>
        </w:rPr>
      </w:pPr>
    </w:p>
    <w:p>
      <w:pPr>
        <w:ind w:left="640" w:hanging="313"/>
        <w:spacing w:after="0" w:line="25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95" w:lineRule="exact"/>
        <w:rPr>
          <w:rFonts w:ascii="Arial" w:cs="Arial" w:eastAsia="Arial" w:hAnsi="Arial"/>
          <w:sz w:val="18"/>
          <w:szCs w:val="18"/>
          <w:color w:val="auto"/>
        </w:rPr>
      </w:pPr>
    </w:p>
    <w:p>
      <w:pPr>
        <w:ind w:left="640" w:hanging="313"/>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 and</w:t>
      </w:r>
    </w:p>
    <w:p>
      <w:pPr>
        <w:spacing w:after="0" w:line="113" w:lineRule="exact"/>
        <w:rPr>
          <w:rFonts w:ascii="Arial" w:cs="Arial" w:eastAsia="Arial" w:hAnsi="Arial"/>
          <w:sz w:val="18"/>
          <w:szCs w:val="18"/>
          <w:color w:val="auto"/>
        </w:rPr>
      </w:pPr>
    </w:p>
    <w:p>
      <w:pPr>
        <w:ind w:left="640" w:hanging="313"/>
        <w:spacing w:after="0" w:line="25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2022 10-K Report, and those described from time to time in our other filings with the SEC.</w:t>
      </w:r>
    </w:p>
    <w:p>
      <w:pPr>
        <w:spacing w:after="0" w:line="9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10-Q Report will be deemed to modify or supersede such forward-looking statements.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 as amended (the "Exchange Act").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Business Overview</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 leading global energy management company, offering a broad suite of energy advisory, management and fulfillment services, digital and other technology solutions, as well as sustainability products and services across the energy product spectrum. We are principally involved in providing energy procurement and related products and services to commercial and industrial customers in the aviation, land, and marine transportation industries. We have also expanded our product and service offerings to include energy advisory services, sustainability and renewable energy solutions, as well as supply fulfillment for natural gas and power. We are continuing to focus on advancing the energy transition to lower carbon alternatives through expanding our portfolio of energy solutions and providing customers with greater access to sustainably sourced energy as well as mechanisms to compensate for residual emissions in the near term.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operate in three reportable segments consisting of aviation, land, and marine. For additional discussion on our reportable segments, see "Reportable Segments" under Part I, Item 1 – Business in our 2022 10-K Report. Selected financial information with respect to our business segments is provided in Note 11. Business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Segment</w:t>
      </w:r>
    </w:p>
    <w:p>
      <w:pPr>
        <w:spacing w:after="0" w:line="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aviation segment has benefited from growth in our fuel and related services offerings, as well as our enhanced logistics capabilities and the geographic expansion of our aviation fueling operations into additional international airport locations. As part of our growth strategy, we have also increased the level of inventory that we hold in order to meet the needs of our customers. While we generally enter into financial derivative contracts to mitigate price risk exposure associated with our inventory, depending on market pricing dynamics, we may experience negative impacts on our results, particularly in a market pricing environment experiencing severe backwardation, such as in the first half of 2022, where oil futures forward prices traded at significantly lower levels than the then current market price.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Segment</w:t>
      </w:r>
    </w:p>
    <w:p>
      <w:pPr>
        <w:spacing w:after="0" w:line="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our land segment is well-positioned to continue growing market share, both organically and through leveraging the capabilities of our acquisitions, including Flyers, which we acquired in January 2022, serving to further enhance our business to deliver value-added solutions to our land fuel customers.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also expanded our product and service offerings to include energy advisory services, sustainability solutions, as well as supply fulfillment for natural gas and power. We continue to focus on supporting the energy transition through various initiatives and expanding our sustainability offerings, including renewable fuel products, and carbon management and renewable energy solutions through World Kinect, our global energy management brand. We are continuing to invest in talent in this area, which we believe will help accelerate growth in these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Marine Segment</w:t>
      </w:r>
    </w:p>
    <w:p>
      <w:pPr>
        <w:spacing w:after="0" w:line="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Due to the generally spot nature of sales in our marine business, we have traditionally benefited from elevated fuel prices and volatility, supply uncertainty, and a constrained credit environment. Over the last several years, we have spent a considerable amount of time reorganizing our business to drive internal efficiencies so that we can generate relatively moderate levels of earnings in stable markets and yet remain poised to provide additional value in volatile and credit constrained markets. In 2022, our marine segment delivered exceptional results due to the market conditions arising from the dramatic increase in global oil prices and higher interest rates, as well as the disruption of traditional supply patterns and related price volatility. However, with lower global oil prices and reduced market volatility forecasted for 2023, we expect our marine segment's performance to be materially lower than the extraordinary results produced in 2022.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After being relatively moderate in recent years, inflation in the United States and other jurisdictions in which we do business increased significantly in late 2021 into 2022, primarily driven by supply chain disruptions, labor shortages and increased commodity prices, which generally resulted in higher costs in 2022 and the first quarter of 2023. However, to the extent that a rising cost environment impacts our results, there are typically offsetting benefits either inherent in certain parts of our business or that may result from proactive measures we take to reduce the impact of inflation on our net operating results. These benefits can include higher commodity prices that typically result in a constrained credit environment, often creating favorable market conditions that increase demand for our services, as well as our ability to renegotiate prices due to many of our sales contracts being 12 months or less in duration.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3" w:name="page24"/>
    <w:bookmarkEnd w:id="23"/>
    <w:p>
      <w:pPr>
        <w:jc w:val="both"/>
        <w:spacing w:after="0" w:line="254" w:lineRule="auto"/>
        <w:rPr>
          <w:sz w:val="20"/>
          <w:szCs w:val="20"/>
          <w:color w:val="auto"/>
        </w:rPr>
      </w:pPr>
      <w:r>
        <w:rPr>
          <w:rFonts w:ascii="Arial" w:cs="Arial" w:eastAsia="Arial" w:hAnsi="Arial"/>
          <w:sz w:val="18"/>
          <w:szCs w:val="18"/>
          <w:color w:val="auto"/>
        </w:rPr>
        <w:t>Additionally, we take measures to mitigate the impact of increases in fuel prices through comprehensive hedging programs and the use of financial derivative contracts.</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these reasons, the increased cost environment, caused in part by inflation, has not had a material impact on our historical results of operations for the periods presented in this report. However, a significant or prolonged period of high inflation, particularly when combined with rising interest rates due to actions taken by governments to attempt to control inflation, could adversely impact our results if costs, including employee compensation driven by competitive job market conditions, were to increase at a rate greater than the increase in the revenues we generate. Higher interest rates also typically increase the interest expense associated with our credit arrangements with banks and other parties that serve as important sources of liquidity for us, which can therefore negatively impact our results of operations for a particular period.</w:t>
      </w:r>
    </w:p>
    <w:p>
      <w:pPr>
        <w:spacing w:after="0" w:line="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See “We extend credit to most of our customers in connection with their purchase of fuel and services from us, and our financial condition, results of operations and cash flows will be adversely affected if we are unable to collect accounts receivable,” “Changes in the market price of fuel may have a material adverse effect on our business,” “Our business depends on our ability to adequately finance our capital requirements and fund our investments, which, if not available to us, would impact our ability to conduct our operations,” "Significant inflation and higher interest rates may adversely affect our business and financial condition," and “Our derivative transactions with customers, suppliers, merchants and financial institutions expose us to price and credit risks, which could have a material adverse effect on our business” in Item 1A – Risk Factors in our 2022 10-K Report for additional discussion of these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March 31, 2023 Compared to Three Months Ended March 31, 2022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Results of Operations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consolidated results of operations for the periods indicated (in millions, except per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00" w:type="dxa"/>
            <w:vAlign w:val="bottom"/>
          </w:tcPr>
          <w:p>
            <w:pPr>
              <w:spacing w:after="0"/>
              <w:rPr>
                <w:sz w:val="20"/>
                <w:szCs w:val="20"/>
                <w:color w:val="auto"/>
              </w:rPr>
            </w:pPr>
          </w:p>
        </w:tc>
        <w:tc>
          <w:tcPr>
            <w:tcW w:w="4740" w:type="dxa"/>
            <w:vAlign w:val="bottom"/>
            <w:tcBorders>
              <w:bottom w:val="single" w:sz="8" w:color="auto"/>
            </w:tcBorders>
            <w:gridSpan w:val="5"/>
          </w:tcPr>
          <w:p>
            <w:pPr>
              <w:jc w:val="right"/>
              <w:ind w:right="651"/>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21"/>
        </w:trPr>
        <w:tc>
          <w:tcPr>
            <w:tcW w:w="65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2023</w:t>
            </w: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b w:val="1"/>
                <w:bCs w:val="1"/>
                <w:color w:val="auto"/>
              </w:rPr>
              <w:t>2022</w:t>
            </w:r>
          </w:p>
        </w:tc>
      </w:tr>
      <w:tr>
        <w:trPr>
          <w:trHeight w:val="22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4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12,481.6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12,382.0</w:t>
            </w:r>
          </w:p>
        </w:tc>
      </w:tr>
      <w:tr>
        <w:trPr>
          <w:trHeight w:val="226"/>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12,218.9</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12,151.1</w:t>
            </w:r>
          </w:p>
        </w:tc>
      </w:tr>
      <w:tr>
        <w:trPr>
          <w:trHeight w:val="221"/>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r>
      <w:tr>
        <w:trPr>
          <w:trHeight w:val="206"/>
        </w:trPr>
        <w:tc>
          <w:tcPr>
            <w:tcW w:w="6500" w:type="dxa"/>
            <w:vAlign w:val="bottom"/>
          </w:tcPr>
          <w:p>
            <w:pPr>
              <w:ind w:left="20"/>
              <w:spacing w:after="0" w:line="206" w:lineRule="exact"/>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28"/>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1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r>
      <w:tr>
        <w:trPr>
          <w:trHeight w:val="226"/>
        </w:trPr>
        <w:tc>
          <w:tcPr>
            <w:tcW w:w="6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1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r>
      <w:tr>
        <w:trPr>
          <w:trHeight w:val="220"/>
        </w:trPr>
        <w:tc>
          <w:tcPr>
            <w:tcW w:w="6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r>
      <w:tr>
        <w:trPr>
          <w:trHeight w:val="22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1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r>
      <w:tr>
        <w:trPr>
          <w:trHeight w:val="208"/>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1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6"/>
        </w:trPr>
        <w:tc>
          <w:tcPr>
            <w:tcW w:w="650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1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7"/>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0"/>
        </w:trPr>
        <w:tc>
          <w:tcPr>
            <w:tcW w:w="6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1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1"/>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26"/>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21"/>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26"/>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6"/>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Fuel</w:t>
            </w:r>
          </w:p>
        </w:tc>
        <w:tc>
          <w:tcPr>
            <w:tcW w:w="1440" w:type="dxa"/>
            <w:vAlign w:val="bottom"/>
            <w:tcBorders>
              <w:bottom w:val="single" w:sz="8" w:color="auto"/>
            </w:tcBorders>
            <w:shd w:val="clear" w:color="auto" w:fill="CCEEFF"/>
          </w:tcPr>
          <w:p>
            <w:pPr>
              <w:jc w:val="right"/>
              <w:ind w:right="12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5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252"/>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1440" w:type="dxa"/>
            <w:vAlign w:val="bottom"/>
            <w:tcBorders>
              <w:bottom w:val="single" w:sz="8" w:color="auto"/>
            </w:tcBorders>
            <w:shd w:val="clear" w:color="auto" w:fill="CCEEFF"/>
          </w:tcPr>
          <w:p>
            <w:pPr>
              <w:jc w:val="right"/>
              <w:ind w:right="12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5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252"/>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440" w:type="dxa"/>
            <w:vAlign w:val="bottom"/>
            <w:tcBorders>
              <w:bottom w:val="single" w:sz="8" w:color="auto"/>
            </w:tcBorders>
            <w:shd w:val="clear" w:color="auto" w:fill="CCEEFF"/>
          </w:tcPr>
          <w:p>
            <w:pPr>
              <w:jc w:val="right"/>
              <w:ind w:right="12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consolidated revenue for the three months ended March 31, 2023 was $12.5 billion, an increase of $99.6 million, or 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2022, due to higher prices and volumes in the aviation segment offset by decreased revenues in the marine and land segments, as discussed further below.</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4" w:name="page25"/>
    <w:bookmarkEnd w:id="24"/>
    <w:p>
      <w:pPr>
        <w:jc w:val="both"/>
        <w:spacing w:after="0" w:line="261"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three months ended March 31, 2023 was $262.7 million, an increase of $31.8 million, or 14%,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March 31, 2022, attributable to increased gross profit of $36.4 million and $5.1 million in the aviation and marine segments, respectively, partially offset by a decrease of $9.6 million in the land segment, as discussed further below.</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three months ended March 31, 2023 were $198.2 million, an increase of $8.5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4%, compared to the three months ended March 31, 2022. The increase in operating expenses was primarily driven by an increase in general and administrative expenses and higher compensation costs as business activities continued to normalize.</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Non-Operating Income (Expense), net. </w:t>
      </w:r>
      <w:r>
        <w:rPr>
          <w:rFonts w:ascii="Arial" w:cs="Arial" w:eastAsia="Arial" w:hAnsi="Arial"/>
          <w:sz w:val="18"/>
          <w:szCs w:val="18"/>
          <w:color w:val="auto"/>
        </w:rPr>
        <w:t>For the three months ended March 31, 2023, we had net non-operating expense of $37.8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non-operating expense of $8.7 million for the three months ended March 31, 2022. The increase of $29.2 million during the three months ended March 31, 2023 was primarily attributable to an increase in interest expense as well as foreign currency losses. The increase in interest expense was primarily driven by higher interest rates and an increase in fees associated with sales of accounts receivable under our Receivables Purchase Agreements ("RPAs").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three months ended March 31, 2023, we recognized an income tax expense of $4.2 million, compared to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$6.4 million for the three months ended March 31, 2022. The decrease of $2.2 million was primarily attributable to differences in discrete tax items. See Note 8. Income Taxes for additional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Aviation Segment Results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aviation segment results of operations for the periods indicated (in millions, except price per gallon):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20" w:type="dxa"/>
            <w:vAlign w:val="bottom"/>
          </w:tcPr>
          <w:p>
            <w:pPr>
              <w:spacing w:after="0"/>
              <w:rPr>
                <w:sz w:val="20"/>
                <w:szCs w:val="20"/>
                <w:color w:val="auto"/>
              </w:rPr>
            </w:pPr>
          </w:p>
        </w:tc>
        <w:tc>
          <w:tcPr>
            <w:tcW w:w="4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22"/>
        </w:trPr>
        <w:tc>
          <w:tcPr>
            <w:tcW w:w="45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2023</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Change</w:t>
            </w: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6,222.8</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1,212.3</w:t>
            </w:r>
          </w:p>
        </w:tc>
      </w:tr>
      <w:tr>
        <w:trPr>
          <w:trHeight w:val="93"/>
        </w:trPr>
        <w:tc>
          <w:tcPr>
            <w:tcW w:w="45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2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26"/>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4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80" w:type="dxa"/>
            <w:vAlign w:val="bottom"/>
            <w:tcBorders>
              <w:bottom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141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45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6"/>
        </w:trPr>
        <w:tc>
          <w:tcPr>
            <w:tcW w:w="4520" w:type="dxa"/>
            <w:vAlign w:val="bottom"/>
          </w:tcPr>
          <w:p>
            <w:pPr>
              <w:ind w:left="20"/>
              <w:spacing w:after="0"/>
              <w:rPr>
                <w:sz w:val="20"/>
                <w:szCs w:val="20"/>
                <w:color w:val="auto"/>
              </w:rPr>
            </w:pPr>
            <w:r>
              <w:rPr>
                <w:rFonts w:ascii="Arial" w:cs="Arial" w:eastAsia="Arial" w:hAnsi="Arial"/>
                <w:sz w:val="18"/>
                <w:szCs w:val="18"/>
                <w:color w:val="auto"/>
              </w:rPr>
              <w:t>Aviation segment volumes (gallons)</w:t>
            </w: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1,777.1</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1,655.4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121.7</w:t>
            </w:r>
          </w:p>
        </w:tc>
      </w:tr>
      <w:tr>
        <w:trPr>
          <w:trHeight w:val="22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 average price per gallon</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r>
    </w:tbl>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Revenues in our aviation segment were $6.2 billion for the three months ended March 31, 2023, an increase of $1.2 billion, or 24%, compared to the three months ended March 31, 2022. The increase in revenue was driven by higher average prices and increased volumes. Average jet fuel price per gallon sold increased by 13% in the three months ended March 31, 2023 compared to the three months ended March 31, 2022. Total aviation volumes increased by 121.7 million gallons, or 7%, to 1.8 billion gallons, driven largely by growth in international passenger airline demand.</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Aviation segment gross profit for the three months ended March 31, 2023 was $100.6 million, an increase of $36.4 million, or 57%, compared to the three months ended March 31, 2022. The increase was attributable to higher contribution from growth in volume and related service offerings during the quarter, as well as the impact of inventory losses driven by significant price volatility and backwardation that occurred during the quarter ended March 31, 2022.</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Income from operations in our aviation segment for the three months ended March 31, 2023 was $34.0 million, an increase of $26.5 million, or 352%, compared to the three months ended March 31, 2022. The higher gross profit discussed above was partially offset by a $9.9 million increase in operating expenses arising from higher compensation costs and an increase in marketing and travel-related expenses to support the growth in business activity and improved financial performance.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Land Segment Results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land segment results of operations for the periods indicated (in millions, except price per gallon):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20" w:type="dxa"/>
            <w:vAlign w:val="bottom"/>
          </w:tcPr>
          <w:p>
            <w:pPr>
              <w:spacing w:after="0"/>
              <w:rPr>
                <w:sz w:val="20"/>
                <w:szCs w:val="20"/>
                <w:color w:val="auto"/>
              </w:rPr>
            </w:pPr>
          </w:p>
        </w:tc>
        <w:tc>
          <w:tcPr>
            <w:tcW w:w="4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22"/>
        </w:trPr>
        <w:tc>
          <w:tcPr>
            <w:tcW w:w="45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2023</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Change</w:t>
            </w: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3,891.3</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4,380.8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r>
      <w:tr>
        <w:trPr>
          <w:trHeight w:val="93"/>
        </w:trPr>
        <w:tc>
          <w:tcPr>
            <w:tcW w:w="45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2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6"/>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80" w:type="dxa"/>
            <w:vAlign w:val="bottom"/>
            <w:tcBorders>
              <w:bottom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141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45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2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7"/>
        </w:trPr>
        <w:tc>
          <w:tcPr>
            <w:tcW w:w="452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Land segment volumes (gallons) </w:t>
            </w:r>
            <w:r>
              <w:rPr>
                <w:rFonts w:ascii="Arial" w:cs="Arial" w:eastAsia="Arial" w:hAnsi="Arial"/>
                <w:sz w:val="23"/>
                <w:szCs w:val="23"/>
                <w:color w:val="auto"/>
                <w:vertAlign w:val="superscript"/>
              </w:rPr>
              <w:t>(1)</w:t>
            </w: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1,564.7</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1,582.6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segment average price per gallon</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1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bl>
    <w:p>
      <w:pPr>
        <w:spacing w:after="0" w:line="199" w:lineRule="exact"/>
        <w:rPr>
          <w:sz w:val="20"/>
          <w:szCs w:val="20"/>
          <w:color w:val="auto"/>
        </w:rPr>
      </w:pPr>
    </w:p>
    <w:p>
      <w:pPr>
        <w:ind w:left="320" w:hanging="313"/>
        <w:spacing w:after="0" w:line="217" w:lineRule="auto"/>
        <w:tabs>
          <w:tab w:leader="none" w:pos="31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gallons and gallon equivalents of British Thermal Units (BTU) for our natural gas sales and Kilowatt Hours (kWh) for our World Kinect power business.</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Revenues in our land segment were $3.9 billion for the three months ended March 31, 2023, a decrease of $489.6 million, or 11%, compared to the three months ended March 31, 2022. The decrease in revenue was principally driven by an 10% decrease in prices for the three months ended March 31, 2023 compared to the three months ended March 31, 2022. Total volumes decreased by 17.9 million, or 1%, to 1.6 billion gallons or gallon equivalents in the three months ended March 31, 2023 compared to the three months ended March 31, 2022 driven by extreme weather conditions experienced in our liquid fuel business in North America, partially offset by increased activity in our natural gas business.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land segment gross profit for the three months ended March 31, 2023 was $110.1 million, a decrease of $9.6 million, or 8%, compared to the three months ended March 31, 2022. The decrease in gross profit was primarily attributable to extreme weather conditions experienced in our liquid fuel business in North America and lower contributions from our U.K. business, which benefited from significant price volatility in the first quarter of 2022, partially offset by improved performance in our natural gas, power and sustainability-related offerings.</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our land segment, income from operations for the three months ended March 31, 2023 was $26.2 million, a decrease of $7.2 million, or 22%, compared to the three months ended March 31, 2022. The decrease in gross profit discussed above was partially offset by a decrease in operating expenses principally related to lower general and administrative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Segment Results of Operations</w:t>
      </w:r>
    </w:p>
    <w:p>
      <w:pPr>
        <w:spacing w:after="0" w:line="2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following provides a summary of the marine segment results of operations for the periods indicated (in millions, except price per metric ton):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00" w:type="dxa"/>
            <w:vAlign w:val="bottom"/>
          </w:tcPr>
          <w:p>
            <w:pPr>
              <w:spacing w:after="0"/>
              <w:rPr>
                <w:sz w:val="20"/>
                <w:szCs w:val="20"/>
                <w:color w:val="auto"/>
              </w:rPr>
            </w:pPr>
          </w:p>
        </w:tc>
        <w:tc>
          <w:tcPr>
            <w:tcW w:w="4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2"/>
        </w:trPr>
        <w:tc>
          <w:tcPr>
            <w:tcW w:w="46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Change</w:t>
            </w:r>
          </w:p>
        </w:tc>
      </w:tr>
      <w:tr>
        <w:trPr>
          <w:trHeight w:val="22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2,367.5</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9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w:t>
            </w:r>
          </w:p>
        </w:tc>
      </w:tr>
      <w:tr>
        <w:trPr>
          <w:trHeight w:val="93"/>
        </w:trPr>
        <w:tc>
          <w:tcPr>
            <w:tcW w:w="46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2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9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6"/>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500" w:type="dxa"/>
            <w:vAlign w:val="bottom"/>
            <w:tcBorders>
              <w:bottom w:val="single" w:sz="8" w:color="auto"/>
            </w:tcBorders>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39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46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2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6"/>
        </w:trPr>
        <w:tc>
          <w:tcPr>
            <w:tcW w:w="4600" w:type="dxa"/>
            <w:vAlign w:val="bottom"/>
          </w:tcPr>
          <w:p>
            <w:pPr>
              <w:ind w:left="20"/>
              <w:spacing w:after="0"/>
              <w:rPr>
                <w:sz w:val="20"/>
                <w:szCs w:val="20"/>
                <w:color w:val="auto"/>
              </w:rPr>
            </w:pPr>
            <w:r>
              <w:rPr>
                <w:rFonts w:ascii="Arial" w:cs="Arial" w:eastAsia="Arial" w:hAnsi="Arial"/>
                <w:sz w:val="18"/>
                <w:szCs w:val="18"/>
                <w:color w:val="auto"/>
              </w:rPr>
              <w:t>Marine segment volumes (metric tons)</w:t>
            </w:r>
          </w:p>
        </w:tc>
        <w:tc>
          <w:tcPr>
            <w:tcW w:w="1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8"/>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 average price per metric ton</w:t>
            </w: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553.16</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91"/>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(84.45)</w:t>
            </w:r>
          </w:p>
        </w:tc>
      </w:tr>
    </w:tbl>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Revenues in our marine segment were $2.4 billion for the three months ended March 31, 2023, a decrease of $623.1 million, or 21%, compared to the three months ended March 31, 2022. The decrease in revenue was principally driven by a 13% decrease in the average price per metric ton of bunker fuel sold in the three months ended March 31, 2023 compared to the three months ended March 31, 2022. Total volumes decreased by 0.4 million metric tons, or 9%, from 4.3 million metric tons for the three months ended March 31, 2023 compared to 4.7</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million metric tons for three months ended March 31, 2022 primarily due to reduced demand in our core resale businesses.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Marine segment gross profit for the three months ended March 31, 2023 was $52.0 million, an increase of $5.1 million, or 11%, compared to the three months ended March 31, 2022 principally as a result of a higher interest rate and credit-constrained environment.</w:t>
      </w:r>
    </w:p>
    <w:p>
      <w:pPr>
        <w:spacing w:after="0" w:line="9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marine segment income from operations for the three months ended March 31, 2023 was $30.8 million, an increase of $7.6 million, or 33%, compared to the three months ended March 31, 2022, primarily due to the increase in gross profit as well as a $2.6 million decrease in operating expenses, largely driven by lower compensation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Liquidity to fund working capital, as well as make strategic investments to further our growth strategy, is a significant priority for us. Our views concerning liquidity are based on currently available information and if circumstances change significantly, the future availability of trade credit or other sources of financing may be reduced, and our liquidity would be adversely affected accordingly.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Sources of Liquidity and Factors Impacting Our Liquidity</w:t>
      </w:r>
    </w:p>
    <w:p>
      <w:pPr>
        <w:spacing w:after="0" w:line="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consisting principally of cash and availability under our Credit Facility, fluctuates based on a number of factors, including the timing of receipts from our customers and payments to our suppliers, changes in fuel prices, as well as our financial performance.</w:t>
      </w:r>
    </w:p>
    <w:p>
      <w:pPr>
        <w:spacing w:after="0" w:line="9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Based on the information currently available, we believe that our cash and cash equivalents as of March 31, 2023 and available funds from our Credit Facility, as described below, together with cash flows generated by operations, are sufficient to fund our working capital and capital expenditure requirements for at least the next twelve months.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The Fourth Amended and Restated Credit Agreement (as amended, the "Credit Agreement"), matures in April 2027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 term loan as well as a revolving credit facility of $1.5 billion (the "Credit Facility"). Our availability under the Credit Facility is limited by, among other things, our consolidated total leverage ratio, which is defined in the Credit Agreement and is based, in part, on our consolidated earnings before interest, taxes, depreciation and amortization, and share-based compensation, with such adjustments as specified therein, for the four immediately preceding fiscal quarters. The Credit Agreement generally limits the total amount of indebtedness we may incur to a consolidated total leverage ratio of not more than 4.75 to 1.</w:t>
      </w:r>
    </w:p>
    <w:p>
      <w:pPr>
        <w:spacing w:after="0" w:line="9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a result of the foregoing, as well as other covenants and restrictions contained in our Credit Agreement, our availability under the Credit Facility may fluctuate from period to period. In addition, our failure to comply with the covenants contained in our Credit Agreement could result in an event of default. An event of default, if not cured or waived, would permit acceleration of any outstanding indebtedness under the Credit Facility and our term loan, trigger cross-defaults under certain other agreements to which we are a party, and impair our ability to obtain working capital advances and issue letters of credit, which would have a material adverse effect on our business, financial condition, results of operations and cash flows. See Note 6. Debt, Interest Income, Expense, and Other Finance Costs for additional information.</w:t>
      </w:r>
    </w:p>
    <w:p>
      <w:pPr>
        <w:spacing w:after="0" w:line="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Receivables Purchase Agreements. </w:t>
      </w:r>
      <w:r>
        <w:rPr>
          <w:rFonts w:ascii="Arial" w:cs="Arial" w:eastAsia="Arial" w:hAnsi="Arial"/>
          <w:sz w:val="18"/>
          <w:szCs w:val="18"/>
          <w:color w:val="auto"/>
        </w:rPr>
        <w:t>We also have accounts receivable programs under RPAs that allow us to sell a specified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accounts receivable and receive cash consideration equal to the total balance, less an associated fee, which varies based on the outstanding accounts receivable at any given time. The RPAs provide the constituent banks with the ability to add or remove customers from these programs in their discretion based on, among other things, the level of risk exposure the bank is willing to accept with respect to any particular customer. The fees the banks charge us to purchase the receivables from these customers can also be impacted for these reasons. See Note 2. Accounts Receivable for additional information.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Cash Flows</w:t>
      </w:r>
    </w:p>
    <w:p>
      <w:pPr>
        <w:spacing w:after="0" w:line="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reflects the major categories of cash flows for the three months ended March 31, 2023 and 2022 (in millions). For additional details, please see the unaudited Condensed Consolidated Statements of Cash Flows in this Quarterly Report on Form 10-Q.</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80" w:type="dxa"/>
            <w:vAlign w:val="bottom"/>
          </w:tcPr>
          <w:p>
            <w:pPr>
              <w:spacing w:after="0"/>
              <w:rPr>
                <w:sz w:val="20"/>
                <w:szCs w:val="20"/>
                <w:color w:val="auto"/>
              </w:rPr>
            </w:pPr>
          </w:p>
        </w:tc>
        <w:tc>
          <w:tcPr>
            <w:tcW w:w="4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660" w:type="dxa"/>
            <w:vAlign w:val="bottom"/>
            <w:tcBorders>
              <w:bottom w:val="single" w:sz="8" w:color="auto"/>
            </w:tcBorders>
          </w:tcPr>
          <w:p>
            <w:pPr>
              <w:spacing w:after="0"/>
              <w:rPr>
                <w:sz w:val="20"/>
                <w:szCs w:val="20"/>
                <w:color w:val="auto"/>
              </w:rPr>
            </w:pPr>
          </w:p>
        </w:tc>
      </w:tr>
      <w:tr>
        <w:trPr>
          <w:trHeight w:val="221"/>
        </w:trPr>
        <w:tc>
          <w:tcPr>
            <w:tcW w:w="64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r>
      <w:tr>
        <w:trPr>
          <w:trHeight w:val="22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520" w:type="dxa"/>
            <w:vAlign w:val="bottom"/>
            <w:shd w:val="clear" w:color="auto" w:fill="CCEEFF"/>
          </w:tcPr>
          <w:p>
            <w:pPr>
              <w:jc w:val="right"/>
              <w:ind w:right="131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47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26"/>
        </w:trPr>
        <w:tc>
          <w:tcPr>
            <w:tcW w:w="64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(657.3)</w:t>
            </w:r>
          </w:p>
        </w:tc>
      </w:tr>
      <w:tr>
        <w:trPr>
          <w:trHeight w:val="228"/>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r>
    </w:tbl>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three months ended March 31, 2023, net cash provided by operating activities was $143.0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$72.0 million net cash used during the three months ended March 31, 2022. The $215.0 million increase in operating cash flows was principally due lower average fuel prices compared to the prior year, which reduced our cost of inventory and decreased both our accounts receivable and accounts payable (net of activity under our RPA programs, as discussed under "Sources of Liquidity and Factors Impacting Our Liquidity" above) offset by increased interest payments driven by higher interest rates. These operating cash inflows were partially offset by a decrease in net income (see "Results of Operations" for further details of the drivers impacting our net income) adjusted for noncash items (primarily related to unrealized derivative activity and foreign exchange losses) of $95.6 million.</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three months ended March 31, 2023, net cash used in investing activities was $23.5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of $657.3 million during the three months ended March 31, 2022. The net cash used in investing activities for the three months ended March 31, 2023 was primarily driven by capital expenditures of $18.8 million. Net cash used in investing activities for the three months ended March 31, 2022 was principally driven by $639.4 million net cash paid for the acquisition of Flyers, as discussed in Note 3. Acquisitions, and $16.7 million for capital expenditures.</w:t>
      </w:r>
    </w:p>
    <w:p>
      <w:pPr>
        <w:spacing w:after="0" w:line="7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three months ended March 31, 2023, net cash used in financing activities was $192.8 million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of $343.7 million for the three months ended March 31, 2022. The net cash used in financing activities for the three months ended March 31, 2023 was primarily attributable to net repayments under our Credit Facility of $123.1 million, payments of deferred consideration related to prior acquisitions of $60.8 million, and dividend payments of $8.6 million. Net cash provided by financing activities for the three months ended March 31, 2022 of $343.7 million was primarily driven by net borrowings of debt under our Credit Facility of $376.0 million, primarily driven by incremental borrowings related to the acquisition of Flyers, partially offset by common stock repurchases of $13.7 million, payments for deferred consideration related to prior acquisitions of $10.0 million, and dividend payments on our common stock of $7.4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Uses of Liquidity</w:t>
      </w:r>
    </w:p>
    <w:p>
      <w:pPr>
        <w:spacing w:after="0" w:line="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Cash is primarily used to fund working capital to support our operations as well as for strategic acquisitions and investments. There were no material changes in our expected future uses of liquidity from December 31, 2022 to March 31, 2023. For a discussion of these matters, refer to "Liquidity and Capital Resources" under Part II, Item 7 – Management's Discussion and Analysis of Financial Condition and Results of Operations of our 2022 10-K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unaudited Condensed Consolidated Financial Statements are prepared in accordance with accounting principles generally accepted in the United States of America. The significant accounting policies used are disclosed in Item 15 – Financial Statement Schedules, Note 1. Basis of Presentation, New Accounting Standards and Significant Accounting Policies to the Consolidated Financial Statements in our 2022 10-K report.</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make estimates and assumptions that affect the reported amounts on our unaudited Condensed Consolidated Financial Statements and accompanying Notes as of the date of the unaudited Condensed Consolidated Financial Statements. There have been no material changes to the Critical Accounting Estimates disclosed in our 2022 10-K report.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Assessments of Goodwill, Long-Lived Assets, and Equity Investments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assess accounting estimates that require consideration of forecasted financial information. Significant judgment is involved in performing these estimates as they are developed based on forecasted assumptions. As of March 31, 2023, the assumptions used in these assessments, particularly the expected growth rates, the profitability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8" w:name="page29"/>
    <w:bookmarkEnd w:id="28"/>
    <w:p>
      <w:pPr>
        <w:jc w:val="both"/>
        <w:spacing w:after="0" w:line="249" w:lineRule="auto"/>
        <w:rPr>
          <w:sz w:val="20"/>
          <w:szCs w:val="20"/>
          <w:color w:val="auto"/>
        </w:rPr>
      </w:pPr>
      <w:r>
        <w:rPr>
          <w:rFonts w:ascii="Arial" w:cs="Arial" w:eastAsia="Arial" w:hAnsi="Arial"/>
          <w:sz w:val="18"/>
          <w:szCs w:val="18"/>
          <w:color w:val="auto"/>
        </w:rPr>
        <w:t>embedded in the projected cash flows provided by our legacy and newly acquired businesses, the discount rate and the market-based multiples, were defined based on available information considering current market volatility and geopolitical risks. Management also considered the volatility in the Company's market capitalization and evaluated the potential impact that this volatility may have on the estimated fair value of our reporting units.</w:t>
      </w:r>
    </w:p>
    <w:p>
      <w:pPr>
        <w:spacing w:after="0" w:line="1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Based on the assessments performed, and supported by the available information as of March 31, 2023, we concluded that the carrying value of our long-lived assets and equity investments were recoverable and that the fair value of our land and aviation reporting units were not less than their respective carrying values. If our results differ significantly from our assumptions, such impact could potentially result in impairments.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exposures to commodity price, interest rate, or foreign currency risk since December 31, 2022.</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our 2022 10-K Report for a complete discussion of our exposure to these risks.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information about our derivative instruments at their respective fair value positions as of March 31, 2023, see Note 4. Derivative Instruments.</w:t>
      </w:r>
    </w:p>
    <w:p>
      <w:pPr>
        <w:spacing w:after="0" w:line="18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March 31,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three months ended March 31, 2023.</w:t>
      </w:r>
    </w:p>
    <w:p>
      <w:pPr>
        <w:spacing w:after="0" w:line="9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29" w:name="page30"/>
    <w:bookmarkEnd w:id="29"/>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inquiries, audits, challenges and litigation in a number of countries, and the amounts under controversy may be material. See Note 8. Income Taxes and Note 9. Commitments and Contingencies within this 10-Q Report as well as Notes 10. Income Taxes and 11. Commitments and Contingencies within Part IV. Item 15 – Notes to the Consolidated Financial Statements in our 2022 10-K Report for additional details regarding certain tax matters.</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 See Note 9. Commitments and Contingencies for additional information.</w:t>
      </w:r>
    </w:p>
    <w:p>
      <w:pPr>
        <w:spacing w:after="0" w:line="1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March 2020, the Company's Board of Directors approved a stock repurchase program authorizing $200.0 million in common stock repurchases (the "2020 Repurchase Program"). Our repurchase program does not require a minimum number of shares of common stock to be purchased, has no expiration date, and repurchases may be suspended or discontinued at any time. As of March 31, 2023, approximately $147.1 million remains available for purchase under the 2020 Repurchase Program. The timing and amount of shares of common stock to be repurchased under the 2020 Repurchase Program will depend on market conditions, share price, securities law and other legal requirements and factors. We did not repurchase any shares during the first quarter of 2023.</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131" w:lineRule="exact"/>
        <w:rPr>
          <w:sz w:val="20"/>
          <w:szCs w:val="20"/>
          <w:color w:val="auto"/>
        </w:rPr>
      </w:pPr>
    </w:p>
    <w:p>
      <w:pPr>
        <w:ind w:left="180"/>
        <w:spacing w:after="0"/>
        <w:tabs>
          <w:tab w:leader="none" w:pos="14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5"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8"/>
          <w:szCs w:val="18"/>
          <w:u w:val="single" w:color="auto"/>
          <w:color w:val="0000FF"/>
        </w:rPr>
        <w:t>31.1</w:t>
      </w:r>
      <w:r>
        <w:rPr>
          <w:sz w:val="20"/>
          <w:szCs w:val="20"/>
          <w:color w:val="auto"/>
        </w:rPr>
        <w:tab/>
      </w:r>
      <w:r>
        <w:rPr>
          <w:rFonts w:ascii="Arial" w:cs="Arial" w:eastAsia="Arial" w:hAnsi="Arial"/>
          <w:sz w:val="17"/>
          <w:szCs w:val="17"/>
          <w:color w:val="auto"/>
        </w:rPr>
        <w:t>Certification of the Chief Executive Officer pursuant to Rule 13a-14(a) or Rule 15d — 14(a).</w:t>
      </w:r>
    </w:p>
    <w:p>
      <w:pPr>
        <w:spacing w:after="0" w:line="113"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8"/>
          <w:szCs w:val="18"/>
          <w:u w:val="single" w:color="auto"/>
          <w:color w:val="0000FF"/>
        </w:rPr>
        <w:t>31.2</w:t>
      </w:r>
      <w:r>
        <w:rPr>
          <w:sz w:val="20"/>
          <w:szCs w:val="20"/>
          <w:color w:val="auto"/>
        </w:rPr>
        <w:tab/>
      </w:r>
      <w:r>
        <w:rPr>
          <w:rFonts w:ascii="Arial" w:cs="Arial" w:eastAsia="Arial" w:hAnsi="Arial"/>
          <w:sz w:val="17"/>
          <w:szCs w:val="17"/>
          <w:color w:val="auto"/>
        </w:rPr>
        <w:t>Certification of the Chief Financial Officer pursuant to Rule 13a-14(a) or Rule 15d — 14(a).</w:t>
      </w:r>
    </w:p>
    <w:p>
      <w:pPr>
        <w:spacing w:after="0" w:line="113"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7"/>
          <w:szCs w:val="17"/>
          <w:color w:val="auto"/>
        </w:rPr>
        <w:t>Certification of Chief Executive Officer and Chief Financial Officer under Section 906 of the Sarbanes-Oxley Act of 2002.</w:t>
      </w:r>
    </w:p>
    <w:p>
      <w:pPr>
        <w:spacing w:after="0" w:line="113" w:lineRule="exact"/>
        <w:rPr>
          <w:sz w:val="20"/>
          <w:szCs w:val="20"/>
          <w:color w:val="auto"/>
        </w:rPr>
      </w:pPr>
    </w:p>
    <w:p>
      <w:pPr>
        <w:jc w:val="both"/>
        <w:ind w:left="1440" w:hanging="941"/>
        <w:spacing w:after="0" w:line="213" w:lineRule="auto"/>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Quarterly Report on Form 10-Q for the quarter ended March 31, 2023, formatted in XBRL (Extensible Business Reporting Language); (i) Condensed Consolidated Balance Sheets, (ii) Condensed Consolidated Statements of Income and Comprehensive Income, (iii) Condensed Consolidated Statements of Shareholders’ Equity, (iv) Condensed Consolidated Statements of Cash Flows, and (v) Notes to the Condensed Consolidated Financial Statements.</w:t>
      </w:r>
    </w:p>
    <w:p>
      <w:pPr>
        <w:spacing w:after="0" w:line="122" w:lineRule="exact"/>
        <w:rPr>
          <w:sz w:val="20"/>
          <w:szCs w:val="20"/>
          <w:color w:val="auto"/>
        </w:rPr>
      </w:pPr>
    </w:p>
    <w:p>
      <w:pPr>
        <w:ind w:left="1440" w:hanging="941"/>
        <w:spacing w:after="0"/>
        <w:tabs>
          <w:tab w:leader="none" w:pos="1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file (formatted in Inline XBRL and contained in Exhibit 101).</w:t>
      </w:r>
    </w:p>
    <w:p>
      <w:pPr>
        <w:spacing w:after="0" w:line="200" w:lineRule="exact"/>
        <w:rPr>
          <w:rFonts w:ascii="Arial" w:cs="Arial" w:eastAsia="Arial" w:hAnsi="Arial"/>
          <w:sz w:val="18"/>
          <w:szCs w:val="18"/>
          <w:color w:val="auto"/>
        </w:rPr>
      </w:pPr>
    </w:p>
    <w:p>
      <w:pPr>
        <w:spacing w:after="0" w:line="353"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127635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 April 28, 2023</w:t>
      </w:r>
      <w:r>
        <w:rPr>
          <w:sz w:val="20"/>
          <w:szCs w:val="20"/>
          <w:color w:val="auto"/>
        </w:rPr>
        <w:tab/>
      </w:r>
      <w:r>
        <w:rPr>
          <w:rFonts w:ascii="Arial" w:cs="Arial" w:eastAsia="Arial" w:hAnsi="Arial"/>
          <w:sz w:val="17"/>
          <w:szCs w:val="17"/>
          <w:color w:val="auto"/>
        </w:rPr>
        <w:t>World Fuel Services Corporation</w:t>
      </w: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4445</wp:posOffset>
            </wp:positionV>
            <wp:extent cx="35585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4445</wp:posOffset>
            </wp:positionV>
            <wp:extent cx="35585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1091" w:right="3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or 15d-14(a)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113" w:lineRule="exact"/>
        <w:rPr>
          <w:sz w:val="20"/>
          <w:szCs w:val="20"/>
          <w:color w:val="auto"/>
        </w:rPr>
      </w:pPr>
    </w:p>
    <w:p>
      <w:pPr>
        <w:ind w:left="640" w:hanging="313"/>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March 31, 2023;</w:t>
      </w:r>
    </w:p>
    <w:p>
      <w:pPr>
        <w:spacing w:after="0" w:line="113" w:lineRule="exact"/>
        <w:rPr>
          <w:rFonts w:ascii="Arial" w:cs="Arial" w:eastAsia="Arial" w:hAnsi="Arial"/>
          <w:sz w:val="18"/>
          <w:szCs w:val="18"/>
          <w:color w:val="auto"/>
        </w:rPr>
      </w:pPr>
    </w:p>
    <w:p>
      <w:pPr>
        <w:ind w:left="640" w:right="80" w:hanging="313"/>
        <w:spacing w:after="0" w:line="250"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40" w:right="260" w:hanging="313"/>
        <w:spacing w:after="0" w:line="250"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8"/>
          <w:szCs w:val="18"/>
          <w:color w:val="auto"/>
        </w:rPr>
      </w:pPr>
    </w:p>
    <w:p>
      <w:pPr>
        <w:ind w:left="640" w:right="280" w:hanging="313"/>
        <w:spacing w:after="0" w:line="250"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1280" w:right="140" w:hanging="313"/>
        <w:spacing w:after="0" w:line="250" w:lineRule="auto"/>
        <w:tabs>
          <w:tab w:leader="none" w:pos="12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1280" w:right="140" w:hanging="313"/>
        <w:spacing w:after="0" w:line="250" w:lineRule="auto"/>
        <w:tabs>
          <w:tab w:leader="none" w:pos="12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1280" w:right="80" w:hanging="313"/>
        <w:spacing w:after="0" w:line="250" w:lineRule="auto"/>
        <w:tabs>
          <w:tab w:leader="none" w:pos="1271"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8"/>
          <w:szCs w:val="18"/>
          <w:color w:val="auto"/>
        </w:rPr>
      </w:pPr>
    </w:p>
    <w:p>
      <w:pPr>
        <w:ind w:left="1280" w:right="200" w:hanging="313"/>
        <w:spacing w:after="0" w:line="251" w:lineRule="auto"/>
        <w:tabs>
          <w:tab w:leader="none" w:pos="12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97" w:lineRule="exact"/>
        <w:rPr>
          <w:rFonts w:ascii="Arial" w:cs="Arial" w:eastAsia="Arial" w:hAnsi="Arial"/>
          <w:sz w:val="18"/>
          <w:szCs w:val="18"/>
          <w:color w:val="auto"/>
        </w:rPr>
      </w:pPr>
    </w:p>
    <w:p>
      <w:pPr>
        <w:ind w:left="640" w:right="480" w:hanging="313"/>
        <w:spacing w:after="0" w:line="251" w:lineRule="auto"/>
        <w:tabs>
          <w:tab w:leader="none" w:pos="6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8"/>
          <w:szCs w:val="18"/>
          <w:color w:val="auto"/>
        </w:rPr>
      </w:pPr>
    </w:p>
    <w:p>
      <w:pPr>
        <w:ind w:left="1280" w:right="60" w:hanging="313"/>
        <w:spacing w:after="0" w:line="251" w:lineRule="auto"/>
        <w:tabs>
          <w:tab w:leader="none" w:pos="12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8"/>
          <w:szCs w:val="18"/>
          <w:color w:val="auto"/>
        </w:rPr>
      </w:pPr>
    </w:p>
    <w:p>
      <w:pPr>
        <w:ind w:left="1280" w:right="900" w:hanging="313"/>
        <w:spacing w:after="0" w:line="254" w:lineRule="auto"/>
        <w:tabs>
          <w:tab w:leader="none" w:pos="12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28, 2023</w:t>
      </w:r>
    </w:p>
    <w:p>
      <w:pPr>
        <w:spacing w:after="0" w:line="3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4445</wp:posOffset>
            </wp:positionV>
            <wp:extent cx="36601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11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113" w:lineRule="exact"/>
        <w:rPr>
          <w:sz w:val="20"/>
          <w:szCs w:val="20"/>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March 31, 2023;</w:t>
      </w:r>
    </w:p>
    <w:p>
      <w:pPr>
        <w:spacing w:after="0" w:line="113" w:lineRule="exact"/>
        <w:rPr>
          <w:rFonts w:ascii="Arial" w:cs="Arial" w:eastAsia="Arial" w:hAnsi="Arial"/>
          <w:sz w:val="18"/>
          <w:szCs w:val="18"/>
          <w:color w:val="auto"/>
        </w:rPr>
      </w:pPr>
    </w:p>
    <w:p>
      <w:pPr>
        <w:ind w:left="640" w:right="80" w:hanging="313"/>
        <w:spacing w:after="0" w:line="250"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40" w:right="260" w:hanging="313"/>
        <w:spacing w:after="0" w:line="250"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8"/>
          <w:szCs w:val="18"/>
          <w:color w:val="auto"/>
        </w:rPr>
      </w:pPr>
    </w:p>
    <w:p>
      <w:pPr>
        <w:ind w:left="640" w:right="280" w:hanging="313"/>
        <w:spacing w:after="0" w:line="250"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1280" w:right="140" w:hanging="313"/>
        <w:spacing w:after="0" w:line="250" w:lineRule="auto"/>
        <w:tabs>
          <w:tab w:leader="none" w:pos="12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1280" w:right="140" w:hanging="313"/>
        <w:spacing w:after="0" w:line="250" w:lineRule="auto"/>
        <w:tabs>
          <w:tab w:leader="none" w:pos="12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1280" w:right="80" w:hanging="313"/>
        <w:spacing w:after="0" w:line="251" w:lineRule="auto"/>
        <w:tabs>
          <w:tab w:leader="none" w:pos="1271"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8"/>
          <w:szCs w:val="18"/>
          <w:color w:val="auto"/>
        </w:rPr>
      </w:pPr>
    </w:p>
    <w:p>
      <w:pPr>
        <w:ind w:left="1280" w:right="200" w:hanging="313"/>
        <w:spacing w:after="0" w:line="251" w:lineRule="auto"/>
        <w:tabs>
          <w:tab w:leader="none" w:pos="12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97" w:lineRule="exact"/>
        <w:rPr>
          <w:rFonts w:ascii="Arial" w:cs="Arial" w:eastAsia="Arial" w:hAnsi="Arial"/>
          <w:sz w:val="18"/>
          <w:szCs w:val="18"/>
          <w:color w:val="auto"/>
        </w:rPr>
      </w:pPr>
    </w:p>
    <w:p>
      <w:pPr>
        <w:ind w:left="640" w:right="480" w:hanging="313"/>
        <w:spacing w:after="0" w:line="251"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8"/>
          <w:szCs w:val="18"/>
          <w:color w:val="auto"/>
        </w:rPr>
      </w:pPr>
    </w:p>
    <w:p>
      <w:pPr>
        <w:ind w:left="1280" w:right="60" w:hanging="313"/>
        <w:spacing w:after="0" w:line="251" w:lineRule="auto"/>
        <w:tabs>
          <w:tab w:leader="none" w:pos="12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8"/>
          <w:szCs w:val="18"/>
          <w:color w:val="auto"/>
        </w:rPr>
      </w:pPr>
    </w:p>
    <w:p>
      <w:pPr>
        <w:ind w:left="1280" w:right="900" w:hanging="313"/>
        <w:spacing w:after="0" w:line="254" w:lineRule="auto"/>
        <w:tabs>
          <w:tab w:leader="none" w:pos="12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April 28, 2023</w:t>
      </w:r>
    </w:p>
    <w:p>
      <w:pPr>
        <w:spacing w:after="0" w:line="3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4445</wp:posOffset>
            </wp:positionV>
            <wp:extent cx="34397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39795" cy="825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118"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 1350)</w:t>
      </w:r>
    </w:p>
    <w:p>
      <w:pPr>
        <w:spacing w:after="0" w:line="200" w:lineRule="exact"/>
        <w:rPr>
          <w:sz w:val="20"/>
          <w:szCs w:val="20"/>
          <w:color w:val="auto"/>
        </w:rPr>
      </w:pPr>
    </w:p>
    <w:p>
      <w:pPr>
        <w:spacing w:after="0" w:line="234" w:lineRule="exact"/>
        <w:rPr>
          <w:sz w:val="20"/>
          <w:szCs w:val="20"/>
          <w:color w:val="auto"/>
        </w:rPr>
      </w:pPr>
    </w:p>
    <w:p>
      <w:pPr>
        <w:jc w:val="both"/>
        <w:ind w:right="240" w:firstLine="198"/>
        <w:spacing w:after="0" w:line="250"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100" w:lineRule="exact"/>
        <w:rPr>
          <w:sz w:val="20"/>
          <w:szCs w:val="20"/>
          <w:color w:val="auto"/>
        </w:rPr>
      </w:pPr>
    </w:p>
    <w:p>
      <w:pPr>
        <w:ind w:left="640" w:right="700" w:hanging="313"/>
        <w:spacing w:after="0" w:line="25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2023 (the “Report”) fully complies with the requirements of Section 13(a) or 15(d), as applicable, of the Securities Exchange Act of 1934; and</w:t>
      </w:r>
    </w:p>
    <w:p>
      <w:pPr>
        <w:spacing w:after="0" w:line="95" w:lineRule="exact"/>
        <w:rPr>
          <w:rFonts w:ascii="Arial" w:cs="Arial" w:eastAsia="Arial" w:hAnsi="Arial"/>
          <w:sz w:val="18"/>
          <w:szCs w:val="18"/>
          <w:color w:val="auto"/>
        </w:rPr>
      </w:pPr>
    </w:p>
    <w:p>
      <w:pPr>
        <w:ind w:left="640" w:right="200" w:hanging="313"/>
        <w:spacing w:after="0" w:line="25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28, 2023</w:t>
      </w:r>
    </w:p>
    <w:p>
      <w:pPr>
        <w:spacing w:after="0" w:line="3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4445</wp:posOffset>
            </wp:positionV>
            <wp:extent cx="36601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J. Kasbar</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3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4445</wp:posOffset>
            </wp:positionV>
            <wp:extent cx="36601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Ira M. Birns</w:t>
      </w:r>
    </w:p>
    <w:p>
      <w:pPr>
        <w:spacing w:after="0" w:line="2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327"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192405</wp:posOffset>
            </wp:positionV>
            <wp:extent cx="69303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039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1"/>
      <w:numFmt w:val="decimal"/>
      <w:start w:val="104"/>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2023-04-28T15:16:58Z</dcterms:created>
  <dcterms:modified xsi:type="dcterms:W3CDTF">2023-04-28T15:16:58Z</dcterms:modified>
</cp:coreProperties>
</file>