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0001242793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001-09533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9800 N.W. 41ST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305-428-8000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KASBAR MICHAEL J</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333780.81</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51355451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64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36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360" w:type="dxa"/>
            <w:vAlign w:val="bottom"/>
          </w:tcPr>
          <w:p>
            <w:pPr>
              <w:jc w:val="center"/>
              <w:ind w:right="16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Vesting of</w:t>
            </w:r>
          </w:p>
        </w:tc>
        <w:tc>
          <w:tcPr>
            <w:tcW w:w="16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WORLD</w:t>
            </w:r>
          </w:p>
        </w:tc>
        <w:tc>
          <w:tcPr>
            <w:tcW w:w="2360" w:type="dxa"/>
            <w:vAlign w:val="bottom"/>
          </w:tcPr>
          <w:p>
            <w:pPr>
              <w:spacing w:after="0"/>
              <w:rPr>
                <w:sz w:val="23"/>
                <w:szCs w:val="23"/>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03/14/2025 restricted stock</w:t>
            </w:r>
          </w:p>
        </w:tc>
        <w:tc>
          <w:tcPr>
            <w:tcW w:w="1640" w:type="dxa"/>
            <w:vAlign w:val="bottom"/>
            <w:vMerge w:val="continue"/>
          </w:tcPr>
          <w:p>
            <w:pPr>
              <w:spacing w:after="0"/>
              <w:rPr>
                <w:sz w:val="10"/>
                <w:szCs w:val="10"/>
                <w:color w:val="auto"/>
              </w:rPr>
            </w:pPr>
          </w:p>
        </w:tc>
        <w:tc>
          <w:tcPr>
            <w:tcW w:w="236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8874</w:t>
            </w:r>
          </w:p>
        </w:tc>
        <w:tc>
          <w:tcPr>
            <w:tcW w:w="310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rPr>
              <w:t>03/14/2025 issuer equity</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6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w w:val="98"/>
              </w:rPr>
              <w:t>KINECT CORP</w:t>
            </w:r>
          </w:p>
        </w:tc>
        <w:tc>
          <w:tcPr>
            <w:tcW w:w="236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3"/>
                <w:szCs w:val="13"/>
                <w:color w:val="auto"/>
              </w:rPr>
            </w:pPr>
          </w:p>
        </w:tc>
        <w:tc>
          <w:tcPr>
            <w:tcW w:w="2600" w:type="dxa"/>
            <w:vAlign w:val="bottom"/>
            <w:vMerge w:val="restart"/>
          </w:tcPr>
          <w:p>
            <w:pPr>
              <w:ind w:left="1100"/>
              <w:spacing w:after="0"/>
              <w:rPr>
                <w:sz w:val="20"/>
                <w:szCs w:val="20"/>
                <w:color w:val="auto"/>
              </w:rPr>
            </w:pPr>
            <w:r>
              <w:rPr>
                <w:rFonts w:ascii="Times New Roman" w:cs="Times New Roman" w:eastAsia="Times New Roman" w:hAnsi="Times New Roman"/>
                <w:sz w:val="22"/>
                <w:szCs w:val="22"/>
                <w:color w:val="auto"/>
              </w:rPr>
              <w:t>unit awards</w:t>
            </w:r>
          </w:p>
        </w:tc>
        <w:tc>
          <w:tcPr>
            <w:tcW w:w="1640" w:type="dxa"/>
            <w:vAlign w:val="bottom"/>
            <w:vMerge w:val="continue"/>
          </w:tcPr>
          <w:p>
            <w:pPr>
              <w:spacing w:after="0"/>
              <w:rPr>
                <w:sz w:val="13"/>
                <w:szCs w:val="13"/>
                <w:color w:val="auto"/>
              </w:rPr>
            </w:pPr>
          </w:p>
        </w:tc>
        <w:tc>
          <w:tcPr>
            <w:tcW w:w="2360" w:type="dxa"/>
            <w:vAlign w:val="bottom"/>
          </w:tcPr>
          <w:p>
            <w:pPr>
              <w:spacing w:after="0"/>
              <w:rPr>
                <w:sz w:val="13"/>
                <w:szCs w:val="13"/>
                <w:color w:val="auto"/>
              </w:rPr>
            </w:pPr>
          </w:p>
        </w:tc>
        <w:tc>
          <w:tcPr>
            <w:tcW w:w="3100" w:type="dxa"/>
            <w:vAlign w:val="bottom"/>
            <w:vMerge w:val="restart"/>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Vesting of</w:t>
            </w:r>
          </w:p>
        </w:tc>
        <w:tc>
          <w:tcPr>
            <w:tcW w:w="16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WORLD</w:t>
            </w:r>
          </w:p>
        </w:tc>
        <w:tc>
          <w:tcPr>
            <w:tcW w:w="2360" w:type="dxa"/>
            <w:vAlign w:val="bottom"/>
          </w:tcPr>
          <w:p>
            <w:pPr>
              <w:spacing w:after="0"/>
              <w:rPr>
                <w:sz w:val="22"/>
                <w:szCs w:val="22"/>
                <w:color w:val="auto"/>
              </w:rPr>
            </w:pPr>
          </w:p>
        </w:tc>
        <w:tc>
          <w:tcPr>
            <w:tcW w:w="310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06/15/2021 restricted stock</w:t>
            </w:r>
          </w:p>
        </w:tc>
        <w:tc>
          <w:tcPr>
            <w:tcW w:w="1640" w:type="dxa"/>
            <w:vAlign w:val="bottom"/>
            <w:vMerge w:val="continue"/>
          </w:tcPr>
          <w:p>
            <w:pPr>
              <w:spacing w:after="0"/>
              <w:rPr>
                <w:sz w:val="10"/>
                <w:szCs w:val="10"/>
                <w:color w:val="auto"/>
              </w:rPr>
            </w:pPr>
          </w:p>
        </w:tc>
        <w:tc>
          <w:tcPr>
            <w:tcW w:w="236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1126</w:t>
            </w:r>
          </w:p>
        </w:tc>
        <w:tc>
          <w:tcPr>
            <w:tcW w:w="3100" w:type="dxa"/>
            <w:vAlign w:val="bottom"/>
            <w:vMerge w:val="restart"/>
          </w:tcPr>
          <w:p>
            <w:pPr>
              <w:ind w:left="440"/>
              <w:spacing w:after="0" w:line="243" w:lineRule="exact"/>
              <w:rPr>
                <w:sz w:val="20"/>
                <w:szCs w:val="20"/>
                <w:color w:val="auto"/>
              </w:rPr>
            </w:pPr>
            <w:r>
              <w:rPr>
                <w:rFonts w:ascii="Times New Roman" w:cs="Times New Roman" w:eastAsia="Times New Roman" w:hAnsi="Times New Roman"/>
                <w:sz w:val="22"/>
                <w:szCs w:val="22"/>
                <w:color w:val="auto"/>
              </w:rPr>
              <w:t>06/15/2021 issuer equity</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6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w w:val="98"/>
              </w:rPr>
              <w:t>KINECT CORP</w:t>
            </w:r>
          </w:p>
        </w:tc>
        <w:tc>
          <w:tcPr>
            <w:tcW w:w="2360" w:type="dxa"/>
            <w:vAlign w:val="bottom"/>
            <w:vMerge w:val="continue"/>
          </w:tcPr>
          <w:p>
            <w:pPr>
              <w:spacing w:after="0"/>
              <w:rPr>
                <w:sz w:val="10"/>
                <w:szCs w:val="10"/>
                <w:color w:val="auto"/>
              </w:rPr>
            </w:pP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3"/>
                <w:szCs w:val="13"/>
                <w:color w:val="auto"/>
              </w:rPr>
            </w:pPr>
          </w:p>
        </w:tc>
        <w:tc>
          <w:tcPr>
            <w:tcW w:w="2600" w:type="dxa"/>
            <w:vAlign w:val="bottom"/>
            <w:vMerge w:val="restart"/>
          </w:tcPr>
          <w:p>
            <w:pPr>
              <w:ind w:left="1100"/>
              <w:spacing w:after="0"/>
              <w:rPr>
                <w:sz w:val="20"/>
                <w:szCs w:val="20"/>
                <w:color w:val="auto"/>
              </w:rPr>
            </w:pPr>
            <w:r>
              <w:rPr>
                <w:rFonts w:ascii="Times New Roman" w:cs="Times New Roman" w:eastAsia="Times New Roman" w:hAnsi="Times New Roman"/>
                <w:sz w:val="22"/>
                <w:szCs w:val="22"/>
                <w:color w:val="auto"/>
              </w:rPr>
              <w:t>unit awards</w:t>
            </w:r>
          </w:p>
        </w:tc>
        <w:tc>
          <w:tcPr>
            <w:tcW w:w="1640" w:type="dxa"/>
            <w:vAlign w:val="bottom"/>
            <w:vMerge w:val="continue"/>
          </w:tcPr>
          <w:p>
            <w:pPr>
              <w:spacing w:after="0"/>
              <w:rPr>
                <w:sz w:val="13"/>
                <w:szCs w:val="13"/>
                <w:color w:val="auto"/>
              </w:rPr>
            </w:pPr>
          </w:p>
        </w:tc>
        <w:tc>
          <w:tcPr>
            <w:tcW w:w="2360" w:type="dxa"/>
            <w:vAlign w:val="bottom"/>
          </w:tcPr>
          <w:p>
            <w:pPr>
              <w:spacing w:after="0"/>
              <w:rPr>
                <w:sz w:val="13"/>
                <w:szCs w:val="13"/>
                <w:color w:val="auto"/>
              </w:rPr>
            </w:pPr>
          </w:p>
        </w:tc>
        <w:tc>
          <w:tcPr>
            <w:tcW w:w="3100" w:type="dxa"/>
            <w:vAlign w:val="bottom"/>
            <w:vMerge w:val="restart"/>
          </w:tcPr>
          <w:p>
            <w:pPr>
              <w:ind w:left="148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3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04/24/2026 23653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666600.49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04/28/2026 847</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23335.58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271071.33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05/05/2026 500</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13750.00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291544.72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700</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19300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582371.55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07/02/2026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11/24/2025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Kasbar</w:t>
      </w:r>
    </w:p>
    <w:p>
      <w:pPr>
        <w:sectPr>
          <w:pgSz w:w="11900" w:h="16838" w:orient="portrait"/>
          <w:cols w:equalWidth="0" w:num="1">
            <w:col w:w="11240"/>
          </w:cols>
          <w:pgMar w:left="320" w:top="9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2026-07-02T15:23:30Z</dcterms:created>
  <dcterms:modified xsi:type="dcterms:W3CDTF">2026-07-02T15:23:30Z</dcterms:modified>
</cp:coreProperties>
</file>