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960" w:right="231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DECEMBER  31, 1995</w:t>
      </w:r>
    </w:p>
    <w:p>
      <w:pPr>
        <w:spacing w:after="0" w:line="207" w:lineRule="exact"/>
        <w:rPr>
          <w:sz w:val="24"/>
          <w:szCs w:val="24"/>
          <w:color w:val="auto"/>
        </w:rPr>
      </w:pPr>
    </w:p>
    <w:p>
      <w:pPr>
        <w:ind w:left="960" w:right="2199" w:hanging="952"/>
        <w:spacing w:after="0" w:line="235" w:lineRule="auto"/>
        <w:tabs>
          <w:tab w:leader="none" w:pos="22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8"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FOR THE TRANSITION PERIOD FROM _______________ to _____________________</w:t>
      </w:r>
    </w:p>
    <w:p>
      <w:pPr>
        <w:spacing w:after="0" w:line="2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COMMISSION FILE NUMBER 1-9533</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WORLD FUEL SERVICES CORPORATION</w:t>
      </w:r>
    </w:p>
    <w:p>
      <w:pPr>
        <w:ind w:left="2120"/>
        <w:spacing w:after="0" w:line="238" w:lineRule="auto"/>
        <w:rPr>
          <w:sz w:val="20"/>
          <w:szCs w:val="20"/>
          <w:color w:val="auto"/>
        </w:rPr>
      </w:pPr>
      <w:r>
        <w:rPr>
          <w:rFonts w:ascii="Courier New" w:cs="Courier New" w:eastAsia="Courier New" w:hAnsi="Courier New"/>
          <w:sz w:val="18"/>
          <w:szCs w:val="18"/>
          <w:color w:val="auto"/>
        </w:rPr>
        <w:t>(formerly International Recovery Corp.)</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Florida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59-2459427</w:t>
      </w:r>
    </w:p>
    <w:p>
      <w:pPr>
        <w:ind w:left="20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720" w:space="720"/>
            <w:col w:w="377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700 South Royal Poinciana Blvd., Suite 800, Miami Springs, Florida</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ind w:left="220"/>
        <w:spacing w:after="0"/>
        <w:rPr>
          <w:sz w:val="20"/>
          <w:szCs w:val="20"/>
          <w:color w:val="auto"/>
        </w:rPr>
      </w:pPr>
      <w:r>
        <w:rPr>
          <w:rFonts w:ascii="Courier New" w:cs="Courier New" w:eastAsia="Courier New" w:hAnsi="Courier New"/>
          <w:sz w:val="18"/>
          <w:szCs w:val="18"/>
          <w:color w:val="auto"/>
        </w:rPr>
        <w:t>33166</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6" w:lineRule="exact"/>
        <w:rPr>
          <w:sz w:val="24"/>
          <w:szCs w:val="24"/>
          <w:color w:val="auto"/>
        </w:rPr>
      </w:pPr>
    </w:p>
    <w:p>
      <w:pPr>
        <w:sectPr>
          <w:pgSz w:w="11900" w:h="16838" w:orient="portrait"/>
          <w:cols w:equalWidth="0" w:num="2">
            <w:col w:w="6960" w:space="420"/>
            <w:col w:w="2839"/>
          </w:cols>
          <w:pgMar w:left="240" w:top="244" w:right="1440" w:bottom="1440" w:gutter="0" w:footer="0" w:header="0"/>
          <w:type w:val="continuous"/>
        </w:sectPr>
      </w:pPr>
    </w:p>
    <w:p>
      <w:pPr>
        <w:spacing w:after="0" w:line="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(305) 884-2001</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APPLICABLE ONLY TO CORPORATE ISSUERS:</w:t>
      </w:r>
    </w:p>
    <w:p>
      <w:pPr>
        <w:spacing w:after="0" w:line="207" w:lineRule="exact"/>
        <w:rPr>
          <w:sz w:val="24"/>
          <w:szCs w:val="24"/>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As of December 31, 1995, the registrant had a total of 8,038,768 shares of Common Stock, par value $0.01 per share, issued and outstanding.</w:t>
      </w: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20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FINANCIAL STATEMENTS</w:t>
      </w:r>
    </w:p>
    <w:p>
      <w:pPr>
        <w:spacing w:after="0" w:line="207" w:lineRule="exact"/>
        <w:rPr>
          <w:sz w:val="24"/>
          <w:szCs w:val="24"/>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following unaudited, condensed consolidated financial statements of World Fuel Services Corporation (the "Company") have been prepared in accordance with the instructions to Form 10-Q and, therefore, omit or condense certain footnotes and other information normally included in financial statements prepared in accordance with generally accepted accounting principles. In the opinion of management, all adjustments necessary for a fair presentation of the financial information for the interim periods reported have been made. Results of operations for the nine months ended December 31, 1995 will not be necessarily indicative of the results for the entire fiscal year ending March 31, 1996.</w:t>
      </w:r>
    </w:p>
    <w:p>
      <w:pPr>
        <w:spacing w:after="0" w:line="178"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2 of 20</w:t>
      </w:r>
    </w:p>
    <w:p>
      <w:pPr>
        <w:sectPr>
          <w:pgSz w:w="11900" w:h="16838" w:orient="portrait"/>
          <w:cols w:equalWidth="0" w:num="1">
            <w:col w:w="10219"/>
          </w:cols>
          <w:pgMar w:left="240" w:top="244"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69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WORLD FUEL SERVICES CORPORATION AND SUBSIDIARIES</w:t>
            </w:r>
          </w:p>
        </w:tc>
        <w:tc>
          <w:tcPr>
            <w:tcW w:w="1480" w:type="dxa"/>
            <w:vAlign w:val="bottom"/>
          </w:tcPr>
          <w:p>
            <w:pPr>
              <w:spacing w:after="0"/>
              <w:rPr>
                <w:sz w:val="17"/>
                <w:szCs w:val="17"/>
                <w:color w:val="auto"/>
              </w:rPr>
            </w:pPr>
          </w:p>
        </w:tc>
      </w:tr>
      <w:tr>
        <w:trPr>
          <w:trHeight w:val="405"/>
        </w:trPr>
        <w:tc>
          <w:tcPr>
            <w:tcW w:w="6960" w:type="dxa"/>
            <w:vAlign w:val="bottom"/>
            <w:gridSpan w:val="2"/>
          </w:tcPr>
          <w:p>
            <w:pPr>
              <w:jc w:val="right"/>
              <w:ind w:right="1172"/>
              <w:spacing w:after="0"/>
              <w:rPr>
                <w:sz w:val="20"/>
                <w:szCs w:val="20"/>
                <w:color w:val="auto"/>
              </w:rPr>
            </w:pPr>
            <w:r>
              <w:rPr>
                <w:rFonts w:ascii="Courier New" w:cs="Courier New" w:eastAsia="Courier New" w:hAnsi="Courier New"/>
                <w:sz w:val="18"/>
                <w:szCs w:val="18"/>
                <w:color w:val="auto"/>
              </w:rPr>
              <w:t>CONSOLIDATED BALANCE SHEETS</w:t>
            </w:r>
          </w:p>
        </w:tc>
        <w:tc>
          <w:tcPr>
            <w:tcW w:w="1480" w:type="dxa"/>
            <w:vAlign w:val="bottom"/>
          </w:tcPr>
          <w:p>
            <w:pPr>
              <w:spacing w:after="0"/>
              <w:rPr>
                <w:sz w:val="24"/>
                <w:szCs w:val="24"/>
                <w:color w:val="auto"/>
              </w:rPr>
            </w:pPr>
          </w:p>
        </w:tc>
      </w:tr>
      <w:tr>
        <w:trPr>
          <w:trHeight w:val="405"/>
        </w:trPr>
        <w:tc>
          <w:tcPr>
            <w:tcW w:w="516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5160" w:type="dxa"/>
            <w:vAlign w:val="bottom"/>
          </w:tcPr>
          <w:p>
            <w:pPr>
              <w:ind w:left="3900"/>
              <w:spacing w:after="0"/>
              <w:rPr>
                <w:sz w:val="20"/>
                <w:szCs w:val="20"/>
                <w:color w:val="auto"/>
              </w:rPr>
            </w:pPr>
            <w:r>
              <w:rPr>
                <w:rFonts w:ascii="Courier New" w:cs="Courier New" w:eastAsia="Courier New" w:hAnsi="Courier New"/>
                <w:sz w:val="18"/>
                <w:szCs w:val="18"/>
                <w:color w:val="auto"/>
              </w:rPr>
              <w:t>ASSETS</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516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DECEMBER 31,</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$ 15,077,000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$ 10,907,000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 net of allowance</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for bad debts of $4,953,000 and</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$4,566,000 at December 31, 1995</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March 31, 1995, respectively</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62,807,000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38,800,000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4,394,000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3,714,000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current assets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3,349,000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4,585,000</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ind w:left="1280"/>
              <w:spacing w:after="0"/>
              <w:rPr>
                <w:sz w:val="20"/>
                <w:szCs w:val="20"/>
                <w:color w:val="auto"/>
              </w:rPr>
            </w:pPr>
            <w:r>
              <w:rPr>
                <w:rFonts w:ascii="Courier New" w:cs="Courier New" w:eastAsia="Courier New" w:hAnsi="Courier New"/>
                <w:sz w:val="18"/>
                <w:szCs w:val="18"/>
                <w:color w:val="auto"/>
              </w:rPr>
              <w:t>Total current assets</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85,627,000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58,006,000</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at cost:</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601,000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Buildings and improvements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2,814,000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2,929,000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 equipment and furniture</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2,478,000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2,394,000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Plant, machinery and equipment</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14,151,000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15,052,000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Construction in progress</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90,000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184,000</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20,134,000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21,264,000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amortization</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5,641,000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5,680,000</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14,493,000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15,584,000</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Unamortized cost in excess of net</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assets of acquired companies, net of</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accumulated amortization</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12,213,000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12,391,000</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2,476,000</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3,555,000</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$114,809,000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$ 89,536,000</w:t>
            </w:r>
          </w:p>
        </w:tc>
      </w:tr>
      <w:tr>
        <w:trPr>
          <w:trHeight w:val="203"/>
        </w:trPr>
        <w:tc>
          <w:tcPr>
            <w:tcW w:w="516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ind w:left="3580"/>
        <w:spacing w:after="0" w:line="238" w:lineRule="auto"/>
        <w:rPr>
          <w:sz w:val="20"/>
          <w:szCs w:val="20"/>
          <w:color w:val="auto"/>
        </w:rPr>
      </w:pPr>
      <w:r>
        <w:rPr>
          <w:rFonts w:ascii="Courier New" w:cs="Courier New" w:eastAsia="Courier New" w:hAnsi="Courier New"/>
          <w:sz w:val="18"/>
          <w:szCs w:val="18"/>
          <w:color w:val="auto"/>
        </w:rPr>
        <w:t>Page 3 of 20</w:t>
      </w:r>
    </w:p>
    <w:p>
      <w:pPr>
        <w:sectPr>
          <w:pgSz w:w="11900" w:h="16838" w:orient="portrait"/>
          <w:cols w:equalWidth="0" w:num="1">
            <w:col w:w="10219"/>
          </w:cols>
          <w:pgMar w:left="240" w:top="1122" w:right="1440" w:bottom="1440" w:gutter="0" w:footer="0" w:header="0"/>
        </w:sectPr>
      </w:pPr>
    </w:p>
    <w:bookmarkStart w:id="2" w:name="page3"/>
    <w:bookmarkEnd w:id="2"/>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CONSOLIDATED BALANCE SHEETS</w:t>
            </w:r>
          </w:p>
        </w:tc>
        <w:tc>
          <w:tcPr>
            <w:tcW w:w="1320" w:type="dxa"/>
            <w:vAlign w:val="bottom"/>
          </w:tcPr>
          <w:p>
            <w:pPr>
              <w:spacing w:after="0"/>
              <w:rPr>
                <w:sz w:val="17"/>
                <w:szCs w:val="17"/>
                <w:color w:val="auto"/>
              </w:rPr>
            </w:pPr>
          </w:p>
        </w:tc>
      </w:tr>
      <w:tr>
        <w:trPr>
          <w:trHeight w:val="405"/>
        </w:trPr>
        <w:tc>
          <w:tcPr>
            <w:tcW w:w="628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(UNAUDITED)</w:t>
            </w:r>
          </w:p>
        </w:tc>
        <w:tc>
          <w:tcPr>
            <w:tcW w:w="1320" w:type="dxa"/>
            <w:vAlign w:val="bottom"/>
          </w:tcPr>
          <w:p>
            <w:pPr>
              <w:spacing w:after="0"/>
              <w:rPr>
                <w:sz w:val="24"/>
                <w:szCs w:val="24"/>
                <w:color w:val="auto"/>
              </w:rPr>
            </w:pPr>
          </w:p>
        </w:tc>
      </w:tr>
      <w:tr>
        <w:trPr>
          <w:trHeight w:val="405"/>
        </w:trPr>
        <w:tc>
          <w:tcPr>
            <w:tcW w:w="6280" w:type="dxa"/>
            <w:vAlign w:val="bottom"/>
            <w:gridSpan w:val="2"/>
          </w:tcPr>
          <w:p>
            <w:pPr>
              <w:jc w:val="right"/>
              <w:ind w:right="1332"/>
              <w:spacing w:after="0"/>
              <w:rPr>
                <w:sz w:val="20"/>
                <w:szCs w:val="20"/>
                <w:color w:val="auto"/>
              </w:rPr>
            </w:pPr>
            <w:r>
              <w:rPr>
                <w:rFonts w:ascii="Courier New" w:cs="Courier New" w:eastAsia="Courier New" w:hAnsi="Courier New"/>
                <w:sz w:val="18"/>
                <w:szCs w:val="18"/>
                <w:color w:val="auto"/>
              </w:rPr>
              <w:t>(Continued)</w:t>
            </w:r>
          </w:p>
        </w:tc>
        <w:tc>
          <w:tcPr>
            <w:tcW w:w="1320" w:type="dxa"/>
            <w:vAlign w:val="bottom"/>
          </w:tcPr>
          <w:p>
            <w:pPr>
              <w:spacing w:after="0"/>
              <w:rPr>
                <w:sz w:val="24"/>
                <w:szCs w:val="24"/>
                <w:color w:val="auto"/>
              </w:rPr>
            </w:pPr>
          </w:p>
        </w:tc>
      </w:tr>
      <w:tr>
        <w:trPr>
          <w:trHeight w:val="405"/>
        </w:trPr>
        <w:tc>
          <w:tcPr>
            <w:tcW w:w="62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LIABILITIES AND STOCKHOLDERS' EQUITY</w:t>
            </w:r>
          </w:p>
        </w:tc>
        <w:tc>
          <w:tcPr>
            <w:tcW w:w="1320" w:type="dxa"/>
            <w:vAlign w:val="bottom"/>
          </w:tcPr>
          <w:p>
            <w:pPr>
              <w:spacing w:after="0"/>
              <w:rPr>
                <w:sz w:val="24"/>
                <w:szCs w:val="24"/>
                <w:color w:val="auto"/>
              </w:rPr>
            </w:pPr>
          </w:p>
        </w:tc>
      </w:tr>
      <w:tr>
        <w:trPr>
          <w:trHeight w:val="405"/>
        </w:trPr>
        <w:tc>
          <w:tcPr>
            <w:tcW w:w="4600" w:type="dxa"/>
            <w:vAlign w:val="bottom"/>
          </w:tcPr>
          <w:p>
            <w:pPr>
              <w:spacing w:after="0"/>
              <w:rPr>
                <w:sz w:val="24"/>
                <w:szCs w:val="24"/>
                <w:color w:val="auto"/>
              </w:rPr>
            </w:pP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8"/>
              </w:rPr>
              <w:t>DECEMBER 31,</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MARCH 31,</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1995</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maturities of long-term debt</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  1,875,000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$ 2,128,000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and accrued expenses</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40,272,000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24,334,000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Customer deposits</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864,000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1,559,000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1,872,000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747,000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1,014,000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1,718,000</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ind w:left="860"/>
              <w:spacing w:after="0"/>
              <w:rPr>
                <w:sz w:val="20"/>
                <w:szCs w:val="20"/>
                <w:color w:val="auto"/>
              </w:rPr>
            </w:pPr>
            <w:r>
              <w:rPr>
                <w:rFonts w:ascii="Courier New" w:cs="Courier New" w:eastAsia="Courier New" w:hAnsi="Courier New"/>
                <w:sz w:val="18"/>
                <w:szCs w:val="18"/>
                <w:color w:val="auto"/>
              </w:rPr>
              <w:t>Total current liabilities</w:t>
            </w: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45,897,000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30,486,000</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LONG-TERM LIABILITIES:</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Long-term debt, net of current maturities</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6,011,000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4,447,000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litigation settlement expense</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1,300,000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compensation</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1,257,000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1,237,000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376,000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4"/>
                <w:szCs w:val="24"/>
                <w:color w:val="auto"/>
              </w:rPr>
            </w:pP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7,644,000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6,984,000</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COMMITMENTS AND CONTINGENCIES</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2 and 4)</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$1.00 par value;</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 shares authorized,</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none issued</w:t>
            </w:r>
          </w:p>
        </w:tc>
        <w:tc>
          <w:tcPr>
            <w:tcW w:w="168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10,000,000 shares authorized,</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8,039,000 and 7,805,000 shares issued</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outstanding at December 31, 1995</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March 31, 1995, respectively,</w:t>
            </w: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6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of treasury shares</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22,615,000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20,414,000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38,630,000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31,631,000</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treasury stock, at cost</w:t>
            </w: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57,000</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57,000</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4"/>
                <w:szCs w:val="24"/>
                <w:color w:val="auto"/>
              </w:rPr>
            </w:pP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61,268,000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52,066,000</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4"/>
                <w:szCs w:val="24"/>
                <w:color w:val="auto"/>
              </w:rPr>
            </w:pPr>
          </w:p>
        </w:tc>
        <w:tc>
          <w:tcPr>
            <w:tcW w:w="1680" w:type="dxa"/>
            <w:vAlign w:val="bottom"/>
          </w:tcPr>
          <w:p>
            <w:pPr>
              <w:jc w:val="right"/>
              <w:ind w:right="292"/>
              <w:spacing w:after="0"/>
              <w:rPr>
                <w:sz w:val="20"/>
                <w:szCs w:val="20"/>
                <w:color w:val="auto"/>
              </w:rPr>
            </w:pPr>
            <w:r>
              <w:rPr>
                <w:rFonts w:ascii="Courier New" w:cs="Courier New" w:eastAsia="Courier New" w:hAnsi="Courier New"/>
                <w:sz w:val="18"/>
                <w:szCs w:val="18"/>
                <w:color w:val="auto"/>
                <w:w w:val="98"/>
              </w:rPr>
              <w:t>$114,809,000</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$89,536,000</w:t>
            </w:r>
          </w:p>
        </w:tc>
      </w:tr>
      <w:tr>
        <w:trPr>
          <w:trHeight w:val="203"/>
        </w:trPr>
        <w:tc>
          <w:tcPr>
            <w:tcW w:w="4600" w:type="dxa"/>
            <w:vAlign w:val="bottom"/>
          </w:tcPr>
          <w:p>
            <w:pPr>
              <w:spacing w:after="0"/>
              <w:rPr>
                <w:sz w:val="17"/>
                <w:szCs w:val="17"/>
                <w:color w:val="auto"/>
              </w:rPr>
            </w:pPr>
          </w:p>
        </w:tc>
        <w:tc>
          <w:tcPr>
            <w:tcW w:w="16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8"/>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960" w:right="2319" w:hanging="419"/>
        <w:spacing w:after="0" w:line="290" w:lineRule="auto"/>
        <w:tabs>
          <w:tab w:leader="none" w:pos="940" w:val="left"/>
        </w:tabs>
        <w:rPr>
          <w:sz w:val="20"/>
          <w:szCs w:val="20"/>
          <w:color w:val="auto"/>
        </w:rPr>
      </w:pPr>
      <w:r>
        <w:rPr>
          <w:rFonts w:ascii="Courier New" w:cs="Courier New" w:eastAsia="Courier New" w:hAnsi="Courier New"/>
          <w:sz w:val="16"/>
          <w:szCs w:val="16"/>
          <w:color w:val="auto"/>
        </w:rPr>
        <w:t>The</w:t>
        <w:tab/>
        <w:t>accompanying notes to the consolidated financial statements are an integral part of these consolidated balance sheets (unaudited).</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20</w:t>
      </w:r>
    </w:p>
    <w:p>
      <w:pPr>
        <w:sectPr>
          <w:pgSz w:w="11900" w:h="16838" w:orient="portrait"/>
          <w:cols w:equalWidth="0" w:num="1">
            <w:col w:w="10219"/>
          </w:cols>
          <w:pgMar w:left="240" w:top="112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6960" w:type="dxa"/>
            <w:vAlign w:val="bottom"/>
            <w:gridSpan w:val="3"/>
          </w:tcPr>
          <w:p>
            <w:pPr>
              <w:jc w:val="right"/>
              <w:ind w:right="132"/>
              <w:spacing w:after="0"/>
              <w:rPr>
                <w:sz w:val="20"/>
                <w:szCs w:val="20"/>
                <w:color w:val="auto"/>
              </w:rPr>
            </w:pPr>
            <w:r>
              <w:rPr>
                <w:rFonts w:ascii="Courier New" w:cs="Courier New" w:eastAsia="Courier New" w:hAnsi="Courier New"/>
                <w:sz w:val="18"/>
                <w:szCs w:val="18"/>
                <w:color w:val="auto"/>
              </w:rPr>
              <w:t>WORLD FUEL SERVICES CORPORATION AND SUBSIDIARIES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6960" w:type="dxa"/>
            <w:vAlign w:val="bottom"/>
            <w:gridSpan w:val="3"/>
          </w:tcPr>
          <w:p>
            <w:pPr>
              <w:jc w:val="right"/>
              <w:ind w:right="852"/>
              <w:spacing w:after="0"/>
              <w:rPr>
                <w:sz w:val="20"/>
                <w:szCs w:val="20"/>
                <w:color w:val="auto"/>
              </w:rPr>
            </w:pPr>
            <w:r>
              <w:rPr>
                <w:rFonts w:ascii="Courier New" w:cs="Courier New" w:eastAsia="Courier New" w:hAnsi="Courier New"/>
                <w:sz w:val="18"/>
                <w:szCs w:val="18"/>
                <w:color w:val="auto"/>
              </w:rPr>
              <w:t>CONSOLIDATED STATEMENTS OF INCOME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700" w:type="dxa"/>
            <w:vAlign w:val="bottom"/>
          </w:tcPr>
          <w:p>
            <w:pPr>
              <w:spacing w:after="0"/>
              <w:rPr>
                <w:sz w:val="24"/>
                <w:szCs w:val="24"/>
                <w:color w:val="auto"/>
              </w:rPr>
            </w:pPr>
          </w:p>
        </w:tc>
        <w:tc>
          <w:tcPr>
            <w:tcW w:w="168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5"/>
              </w:rPr>
              <w:t>(UNAUDITED)</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05"/>
        </w:trPr>
        <w:tc>
          <w:tcPr>
            <w:tcW w:w="3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6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3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060" w:type="dxa"/>
            <w:vAlign w:val="bottom"/>
            <w:gridSpan w:val="3"/>
          </w:tcPr>
          <w:p>
            <w:pPr>
              <w:jc w:val="right"/>
              <w:ind w:right="7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700" w:type="dxa"/>
            <w:vAlign w:val="bottom"/>
          </w:tcPr>
          <w:p>
            <w:pPr>
              <w:spacing w:after="0"/>
              <w:rPr>
                <w:sz w:val="17"/>
                <w:szCs w:val="17"/>
                <w:color w:val="auto"/>
              </w:rPr>
            </w:pPr>
          </w:p>
        </w:tc>
        <w:tc>
          <w:tcPr>
            <w:tcW w:w="4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326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$451,289,000</w:t>
            </w:r>
          </w:p>
        </w:tc>
        <w:tc>
          <w:tcPr>
            <w:tcW w:w="14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$227,287,000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421,876,000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208,512,000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Gross profit</w:t>
            </w: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29,413,000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18,775,000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16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9,662,000</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5,283,000</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6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1,185,000</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1,430,000</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680" w:type="dxa"/>
            <w:vAlign w:val="bottom"/>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7,124,000</w:t>
            </w:r>
          </w:p>
        </w:tc>
        <w:tc>
          <w:tcPr>
            <w:tcW w:w="3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3,903,000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17,971,000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10,616,000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Income from operations</w:t>
            </w: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11,442,000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8,159,000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1,279,000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1,006,000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Income before income taxes</w:t>
            </w: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12,721,000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9,165,000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4,660,000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3,407,000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8,061,000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5,758,000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1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w w:val="97"/>
              </w:rPr>
              <w:t>Weighted average shares outstanding</w:t>
            </w:r>
          </w:p>
        </w:tc>
        <w:tc>
          <w:tcPr>
            <w:tcW w:w="168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8,072,000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7,199,000</w:t>
            </w:r>
          </w:p>
        </w:tc>
      </w:tr>
      <w:tr>
        <w:trPr>
          <w:trHeight w:val="203"/>
        </w:trPr>
        <w:tc>
          <w:tcPr>
            <w:tcW w:w="3700" w:type="dxa"/>
            <w:vAlign w:val="bottom"/>
          </w:tcPr>
          <w:p>
            <w:pPr>
              <w:spacing w:after="0"/>
              <w:rPr>
                <w:sz w:val="17"/>
                <w:szCs w:val="17"/>
                <w:color w:val="auto"/>
              </w:rPr>
            </w:pPr>
          </w:p>
        </w:tc>
        <w:tc>
          <w:tcPr>
            <w:tcW w:w="32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060" w:right="2319" w:hanging="526"/>
        <w:spacing w:after="0" w:line="235" w:lineRule="auto"/>
        <w:rPr>
          <w:sz w:val="20"/>
          <w:szCs w:val="20"/>
          <w:color w:val="auto"/>
        </w:rPr>
      </w:pPr>
      <w:r>
        <w:rPr>
          <w:rFonts w:ascii="Courier New" w:cs="Courier New" w:eastAsia="Courier New" w:hAnsi="Courier New"/>
          <w:sz w:val="18"/>
          <w:szCs w:val="18"/>
          <w:color w:val="auto"/>
        </w:rPr>
        <w:t>The accompanying notes to the consolidated financial statements are an integral part of these consolidated statements (unaudited).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20</w:t>
      </w:r>
    </w:p>
    <w:p>
      <w:pPr>
        <w:sectPr>
          <w:pgSz w:w="11900" w:h="16838" w:orient="portrait"/>
          <w:cols w:equalWidth="0" w:num="1">
            <w:col w:w="10219"/>
          </w:cols>
          <w:pgMar w:left="240" w:top="1122"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7220" w:type="dxa"/>
            <w:vAlign w:val="bottom"/>
            <w:gridSpan w:val="3"/>
          </w:tcPr>
          <w:p>
            <w:pPr>
              <w:jc w:val="right"/>
              <w:ind w:right="392"/>
              <w:spacing w:after="0"/>
              <w:rPr>
                <w:sz w:val="20"/>
                <w:szCs w:val="20"/>
                <w:color w:val="auto"/>
              </w:rPr>
            </w:pPr>
            <w:r>
              <w:rPr>
                <w:rFonts w:ascii="Courier New" w:cs="Courier New" w:eastAsia="Courier New" w:hAnsi="Courier New"/>
                <w:sz w:val="18"/>
                <w:szCs w:val="18"/>
                <w:color w:val="auto"/>
              </w:rPr>
              <w:t>WORLD FUEL SERVICES CORPORATION AND SUBSIDIARIES</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7220" w:type="dxa"/>
            <w:vAlign w:val="bottom"/>
            <w:gridSpan w:val="3"/>
          </w:tcPr>
          <w:p>
            <w:pPr>
              <w:jc w:val="right"/>
              <w:ind w:right="1112"/>
              <w:spacing w:after="0"/>
              <w:rPr>
                <w:sz w:val="20"/>
                <w:szCs w:val="20"/>
                <w:color w:val="auto"/>
              </w:rPr>
            </w:pPr>
            <w:r>
              <w:rPr>
                <w:rFonts w:ascii="Courier New" w:cs="Courier New" w:eastAsia="Courier New" w:hAnsi="Courier New"/>
                <w:sz w:val="18"/>
                <w:szCs w:val="18"/>
                <w:color w:val="auto"/>
              </w:rPr>
              <w:t>CONSOLIDATED STATEMENTS OF INCOME</w:t>
            </w: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700" w:type="dxa"/>
            <w:vAlign w:val="bottom"/>
          </w:tcPr>
          <w:p>
            <w:pPr>
              <w:spacing w:after="0"/>
              <w:rPr>
                <w:sz w:val="24"/>
                <w:szCs w:val="24"/>
                <w:color w:val="auto"/>
              </w:rPr>
            </w:pPr>
          </w:p>
        </w:tc>
        <w:tc>
          <w:tcPr>
            <w:tcW w:w="178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5"/>
              </w:rPr>
              <w:t>(UNAUDITED)</w:t>
            </w: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THREE MONTHS</w:t>
            </w:r>
          </w:p>
        </w:tc>
        <w:tc>
          <w:tcPr>
            <w:tcW w:w="12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ENDED</w:t>
            </w:r>
          </w:p>
        </w:tc>
      </w:tr>
      <w:tr>
        <w:trPr>
          <w:trHeight w:val="203"/>
        </w:trPr>
        <w:tc>
          <w:tcPr>
            <w:tcW w:w="3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3700" w:type="dxa"/>
            <w:vAlign w:val="bottom"/>
          </w:tcPr>
          <w:p>
            <w:pPr>
              <w:spacing w:after="0"/>
              <w:rPr>
                <w:sz w:val="17"/>
                <w:szCs w:val="17"/>
                <w:color w:val="auto"/>
              </w:rPr>
            </w:pPr>
          </w:p>
        </w:tc>
        <w:tc>
          <w:tcPr>
            <w:tcW w:w="4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7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1995</w:t>
            </w:r>
          </w:p>
        </w:tc>
        <w:tc>
          <w:tcPr>
            <w:tcW w:w="16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35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$166,671,000</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$78,103,000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156,343,000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w w:val="96"/>
              </w:rPr>
              <w:t>72,301,000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Gross profit</w:t>
            </w: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10,328,000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5,802,000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Salaries and wages</w:t>
            </w:r>
          </w:p>
        </w:tc>
        <w:tc>
          <w:tcPr>
            <w:tcW w:w="17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3,467,000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1,912,000</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7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349,000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142,000</w:t>
            </w:r>
          </w:p>
        </w:tc>
      </w:tr>
      <w:tr>
        <w:trPr>
          <w:trHeight w:val="203"/>
        </w:trPr>
        <w:tc>
          <w:tcPr>
            <w:tcW w:w="3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Other</w:t>
            </w:r>
          </w:p>
        </w:tc>
        <w:tc>
          <w:tcPr>
            <w:tcW w:w="17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2,476,000</w:t>
            </w:r>
          </w:p>
        </w:tc>
        <w:tc>
          <w:tcPr>
            <w:tcW w:w="1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1,137,000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6,292,000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3,191,000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Income from operations</w:t>
            </w: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4,036,000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2,611,000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Other income, net</w:t>
            </w: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455,000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634,000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ind w:left="540"/>
              <w:spacing w:after="0"/>
              <w:rPr>
                <w:sz w:val="20"/>
                <w:szCs w:val="20"/>
                <w:color w:val="auto"/>
              </w:rPr>
            </w:pPr>
            <w:r>
              <w:rPr>
                <w:rFonts w:ascii="Courier New" w:cs="Courier New" w:eastAsia="Courier New" w:hAnsi="Courier New"/>
                <w:sz w:val="18"/>
                <w:szCs w:val="18"/>
                <w:color w:val="auto"/>
              </w:rPr>
              <w:t>Income before income taxes</w:t>
            </w: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4,491,000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3,245,000</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1,630,000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1,191,000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2,861,000</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$ 2,054,000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.35</w:t>
            </w:r>
          </w:p>
        </w:tc>
        <w:tc>
          <w:tcPr>
            <w:tcW w:w="160" w:type="dxa"/>
            <w:vAlign w:val="bottom"/>
          </w:tcPr>
          <w:p>
            <w:pPr>
              <w:ind w:left="6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.28</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700" w:type="dxa"/>
            <w:vAlign w:val="bottom"/>
          </w:tcPr>
          <w:p>
            <w:pPr>
              <w:spacing w:after="0"/>
              <w:rPr>
                <w:sz w:val="20"/>
                <w:szCs w:val="20"/>
                <w:color w:val="auto"/>
              </w:rPr>
            </w:pPr>
            <w:r>
              <w:rPr>
                <w:rFonts w:ascii="Courier New" w:cs="Courier New" w:eastAsia="Courier New" w:hAnsi="Courier New"/>
                <w:sz w:val="18"/>
                <w:szCs w:val="18"/>
                <w:color w:val="auto"/>
                <w:w w:val="97"/>
              </w:rPr>
              <w:t>Weighted average shares outstanding</w:t>
            </w:r>
          </w:p>
        </w:tc>
        <w:tc>
          <w:tcPr>
            <w:tcW w:w="1780" w:type="dxa"/>
            <w:vAlign w:val="bottom"/>
          </w:tcPr>
          <w:p>
            <w:pPr>
              <w:spacing w:after="0"/>
              <w:rPr>
                <w:sz w:val="24"/>
                <w:szCs w:val="24"/>
                <w:color w:val="auto"/>
              </w:rPr>
            </w:pPr>
          </w:p>
        </w:tc>
        <w:tc>
          <w:tcPr>
            <w:tcW w:w="174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8,111,000</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7,223,000</w:t>
            </w:r>
          </w:p>
        </w:tc>
      </w:tr>
      <w:tr>
        <w:trPr>
          <w:trHeight w:val="203"/>
        </w:trPr>
        <w:tc>
          <w:tcPr>
            <w:tcW w:w="3700" w:type="dxa"/>
            <w:vAlign w:val="bottom"/>
          </w:tcPr>
          <w:p>
            <w:pPr>
              <w:spacing w:after="0"/>
              <w:rPr>
                <w:sz w:val="17"/>
                <w:szCs w:val="17"/>
                <w:color w:val="auto"/>
              </w:rPr>
            </w:pPr>
          </w:p>
        </w:tc>
        <w:tc>
          <w:tcPr>
            <w:tcW w:w="35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ind w:left="1060" w:right="2319" w:hanging="526"/>
        <w:spacing w:after="0" w:line="235" w:lineRule="auto"/>
        <w:rPr>
          <w:sz w:val="20"/>
          <w:szCs w:val="20"/>
          <w:color w:val="auto"/>
        </w:rPr>
      </w:pPr>
      <w:r>
        <w:rPr>
          <w:rFonts w:ascii="Courier New" w:cs="Courier New" w:eastAsia="Courier New" w:hAnsi="Courier New"/>
          <w:sz w:val="18"/>
          <w:szCs w:val="18"/>
          <w:color w:val="auto"/>
        </w:rPr>
        <w:t>The accompanying notes to the consolidated financial statements are an integral part of these consolidated statements (unaudited).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20</w:t>
      </w:r>
    </w:p>
    <w:p>
      <w:pPr>
        <w:sectPr>
          <w:pgSz w:w="11900" w:h="16838" w:orient="portrait"/>
          <w:cols w:equalWidth="0" w:num="1">
            <w:col w:w="10219"/>
          </w:cols>
          <w:pgMar w:left="240" w:top="1122"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7120" w:type="dxa"/>
            <w:vAlign w:val="bottom"/>
            <w:gridSpan w:val="2"/>
          </w:tcPr>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tc>
        <w:tc>
          <w:tcPr>
            <w:tcW w:w="1520" w:type="dxa"/>
            <w:vAlign w:val="bottom"/>
          </w:tcPr>
          <w:p>
            <w:pPr>
              <w:spacing w:after="0"/>
              <w:rPr>
                <w:sz w:val="17"/>
                <w:szCs w:val="17"/>
                <w:color w:val="auto"/>
              </w:rPr>
            </w:pPr>
          </w:p>
        </w:tc>
      </w:tr>
      <w:tr>
        <w:trPr>
          <w:trHeight w:val="405"/>
        </w:trPr>
        <w:tc>
          <w:tcPr>
            <w:tcW w:w="7120" w:type="dxa"/>
            <w:vAlign w:val="bottom"/>
            <w:gridSpan w:val="2"/>
          </w:tcPr>
          <w:p>
            <w:pPr>
              <w:ind w:left="2320"/>
              <w:spacing w:after="0"/>
              <w:rPr>
                <w:sz w:val="20"/>
                <w:szCs w:val="20"/>
                <w:color w:val="auto"/>
              </w:rPr>
            </w:pPr>
            <w:r>
              <w:rPr>
                <w:rFonts w:ascii="Courier New" w:cs="Courier New" w:eastAsia="Courier New" w:hAnsi="Courier New"/>
                <w:sz w:val="18"/>
                <w:szCs w:val="18"/>
                <w:color w:val="auto"/>
              </w:rPr>
              <w:t>CONSOLIDATED STATEMENTS OF CASH FLOWS</w:t>
            </w:r>
          </w:p>
        </w:tc>
        <w:tc>
          <w:tcPr>
            <w:tcW w:w="1520" w:type="dxa"/>
            <w:vAlign w:val="bottom"/>
          </w:tcPr>
          <w:p>
            <w:pPr>
              <w:spacing w:after="0"/>
              <w:rPr>
                <w:sz w:val="24"/>
                <w:szCs w:val="24"/>
                <w:color w:val="auto"/>
              </w:rPr>
            </w:pPr>
          </w:p>
        </w:tc>
      </w:tr>
      <w:tr>
        <w:trPr>
          <w:trHeight w:val="405"/>
        </w:trPr>
        <w:tc>
          <w:tcPr>
            <w:tcW w:w="538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05"/>
        </w:trPr>
        <w:tc>
          <w:tcPr>
            <w:tcW w:w="5380" w:type="dxa"/>
            <w:vAlign w:val="bottom"/>
          </w:tcPr>
          <w:p>
            <w:pPr>
              <w:spacing w:after="0"/>
              <w:rPr>
                <w:sz w:val="24"/>
                <w:szCs w:val="24"/>
                <w:color w:val="auto"/>
              </w:rPr>
            </w:pPr>
          </w:p>
        </w:tc>
        <w:tc>
          <w:tcPr>
            <w:tcW w:w="326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380" w:type="dxa"/>
            <w:vAlign w:val="bottom"/>
          </w:tcPr>
          <w:p>
            <w:pPr>
              <w:spacing w:after="0"/>
              <w:rPr>
                <w:sz w:val="17"/>
                <w:szCs w:val="17"/>
                <w:color w:val="auto"/>
              </w:rPr>
            </w:pPr>
          </w:p>
        </w:tc>
        <w:tc>
          <w:tcPr>
            <w:tcW w:w="32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380" w:type="dxa"/>
            <w:vAlign w:val="bottom"/>
          </w:tcPr>
          <w:p>
            <w:pPr>
              <w:spacing w:after="0"/>
              <w:rPr>
                <w:sz w:val="17"/>
                <w:szCs w:val="17"/>
                <w:color w:val="auto"/>
              </w:rPr>
            </w:pPr>
          </w:p>
        </w:tc>
        <w:tc>
          <w:tcPr>
            <w:tcW w:w="32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7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38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  8,061,000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5,758,000</w:t>
            </w:r>
          </w:p>
        </w:tc>
      </w:tr>
      <w:tr>
        <w:trPr>
          <w:trHeight w:val="203"/>
        </w:trPr>
        <w:tc>
          <w:tcPr>
            <w:tcW w:w="538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income to net cash provided by</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1,231,000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884,000</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bad debts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1,185,000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1,430,000</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Provision for deferred income taxes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641,000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491,000</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Equity in earnings of aviation joint</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venture, net</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(216,000)</w:t>
            </w: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Other non-cash operating (credits)</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charges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16,000</w:t>
            </w:r>
          </w:p>
        </w:tc>
      </w:tr>
      <w:tr>
        <w:trPr>
          <w:trHeight w:val="405"/>
        </w:trPr>
        <w:tc>
          <w:tcPr>
            <w:tcW w:w="5380" w:type="dxa"/>
            <w:vAlign w:val="bottom"/>
          </w:tcPr>
          <w:p>
            <w:pPr>
              <w:ind w:left="640"/>
              <w:spacing w:after="0"/>
              <w:rPr>
                <w:sz w:val="20"/>
                <w:szCs w:val="20"/>
                <w:color w:val="auto"/>
              </w:rPr>
            </w:pPr>
            <w:r>
              <w:rPr>
                <w:rFonts w:ascii="Courier New" w:cs="Courier New" w:eastAsia="Courier New" w:hAnsi="Courier New"/>
                <w:sz w:val="18"/>
                <w:szCs w:val="18"/>
                <w:color w:val="auto"/>
              </w:rPr>
              <w:t>Changes in assets and liabilities,</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net of assets sold and liabilities</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transferred:</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(Increase) decrease in-</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(25,242,000)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(405,000)</w:t>
            </w:r>
          </w:p>
        </w:tc>
      </w:tr>
      <w:tr>
        <w:trPr>
          <w:trHeight w:val="203"/>
        </w:trPr>
        <w:tc>
          <w:tcPr>
            <w:tcW w:w="53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Inventories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(755,000)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(784,000)</w:t>
            </w:r>
          </w:p>
        </w:tc>
      </w:tr>
      <w:tr>
        <w:trPr>
          <w:trHeight w:val="203"/>
        </w:trPr>
        <w:tc>
          <w:tcPr>
            <w:tcW w:w="53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current assets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778,000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(397,000)</w:t>
            </w:r>
          </w:p>
        </w:tc>
      </w:tr>
      <w:tr>
        <w:trPr>
          <w:trHeight w:val="203"/>
        </w:trPr>
        <w:tc>
          <w:tcPr>
            <w:tcW w:w="53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Other assets</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(213,000)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(156,000)</w:t>
            </w:r>
          </w:p>
        </w:tc>
      </w:tr>
      <w:tr>
        <w:trPr>
          <w:trHeight w:val="405"/>
        </w:trPr>
        <w:tc>
          <w:tcPr>
            <w:tcW w:w="5380" w:type="dxa"/>
            <w:vAlign w:val="bottom"/>
          </w:tcPr>
          <w:p>
            <w:pPr>
              <w:ind w:left="1280"/>
              <w:spacing w:after="0"/>
              <w:rPr>
                <w:sz w:val="20"/>
                <w:szCs w:val="20"/>
                <w:color w:val="auto"/>
              </w:rPr>
            </w:pPr>
            <w:r>
              <w:rPr>
                <w:rFonts w:ascii="Courier New" w:cs="Courier New" w:eastAsia="Courier New" w:hAnsi="Courier New"/>
                <w:sz w:val="18"/>
                <w:szCs w:val="18"/>
                <w:color w:val="auto"/>
              </w:rPr>
              <w:t>Increase (decrease) in-</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3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Accounts payable, accrued expenses</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5380" w:type="dxa"/>
            <w:vAlign w:val="bottom"/>
          </w:tcPr>
          <w:p>
            <w:pPr>
              <w:ind w:left="1800"/>
              <w:spacing w:after="0" w:line="203" w:lineRule="exact"/>
              <w:rPr>
                <w:sz w:val="20"/>
                <w:szCs w:val="20"/>
                <w:color w:val="auto"/>
              </w:rPr>
            </w:pPr>
            <w:r>
              <w:rPr>
                <w:rFonts w:ascii="Courier New" w:cs="Courier New" w:eastAsia="Courier New" w:hAnsi="Courier New"/>
                <w:sz w:val="18"/>
                <w:szCs w:val="18"/>
                <w:color w:val="auto"/>
              </w:rPr>
              <w:t>and customer deposits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14,728,000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3,989,000</w:t>
            </w:r>
          </w:p>
        </w:tc>
      </w:tr>
      <w:tr>
        <w:trPr>
          <w:trHeight w:val="203"/>
        </w:trPr>
        <w:tc>
          <w:tcPr>
            <w:tcW w:w="53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Accrued salaries and wages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1,125,000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768,000</w:t>
            </w:r>
          </w:p>
        </w:tc>
      </w:tr>
      <w:tr>
        <w:trPr>
          <w:trHeight w:val="203"/>
        </w:trPr>
        <w:tc>
          <w:tcPr>
            <w:tcW w:w="538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1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(704,000)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592,000</w:t>
            </w:r>
          </w:p>
        </w:tc>
      </w:tr>
      <w:tr>
        <w:trPr>
          <w:trHeight w:val="203"/>
        </w:trPr>
        <w:tc>
          <w:tcPr>
            <w:tcW w:w="538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ind w:left="1580"/>
              <w:spacing w:after="0"/>
              <w:rPr>
                <w:sz w:val="20"/>
                <w:szCs w:val="20"/>
                <w:color w:val="auto"/>
              </w:rPr>
            </w:pPr>
            <w:r>
              <w:rPr>
                <w:rFonts w:ascii="Courier New" w:cs="Courier New" w:eastAsia="Courier New" w:hAnsi="Courier New"/>
                <w:sz w:val="18"/>
                <w:szCs w:val="18"/>
                <w:color w:val="auto"/>
              </w:rPr>
              <w:t>Total adjustments</w:t>
            </w:r>
          </w:p>
        </w:tc>
        <w:tc>
          <w:tcPr>
            <w:tcW w:w="17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(7,354,000)</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6,212,000</w:t>
            </w:r>
          </w:p>
        </w:tc>
      </w:tr>
      <w:tr>
        <w:trPr>
          <w:trHeight w:val="203"/>
        </w:trPr>
        <w:tc>
          <w:tcPr>
            <w:tcW w:w="538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380" w:type="dxa"/>
            <w:vAlign w:val="bottom"/>
          </w:tcPr>
          <w:p>
            <w:pPr>
              <w:ind w:left="420"/>
              <w:spacing w:after="0"/>
              <w:rPr>
                <w:sz w:val="20"/>
                <w:szCs w:val="20"/>
                <w:color w:val="auto"/>
              </w:rPr>
            </w:pPr>
            <w:r>
              <w:rPr>
                <w:rFonts w:ascii="Courier New" w:cs="Courier New" w:eastAsia="Courier New" w:hAnsi="Courier New"/>
                <w:sz w:val="18"/>
                <w:szCs w:val="18"/>
                <w:color w:val="auto"/>
              </w:rPr>
              <w:t>Net cash provided by operating</w:t>
            </w:r>
          </w:p>
        </w:tc>
        <w:tc>
          <w:tcPr>
            <w:tcW w:w="17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53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activities</w:t>
            </w: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707,000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11,970,000</w:t>
            </w:r>
          </w:p>
        </w:tc>
      </w:tr>
      <w:tr>
        <w:trPr>
          <w:trHeight w:val="203"/>
        </w:trPr>
        <w:tc>
          <w:tcPr>
            <w:tcW w:w="5380" w:type="dxa"/>
            <w:vAlign w:val="bottom"/>
          </w:tcPr>
          <w:p>
            <w:pPr>
              <w:spacing w:after="0"/>
              <w:rPr>
                <w:sz w:val="17"/>
                <w:szCs w:val="17"/>
                <w:color w:val="auto"/>
              </w:rPr>
            </w:pPr>
          </w:p>
        </w:tc>
        <w:tc>
          <w:tcPr>
            <w:tcW w:w="1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ind w:left="3580"/>
        <w:spacing w:after="0" w:line="238" w:lineRule="auto"/>
        <w:rPr>
          <w:sz w:val="20"/>
          <w:szCs w:val="20"/>
          <w:color w:val="auto"/>
        </w:rPr>
      </w:pPr>
      <w:r>
        <w:rPr>
          <w:rFonts w:ascii="Courier New" w:cs="Courier New" w:eastAsia="Courier New" w:hAnsi="Courier New"/>
          <w:sz w:val="18"/>
          <w:szCs w:val="18"/>
          <w:color w:val="auto"/>
        </w:rPr>
        <w:t>Page 7 of 20</w:t>
      </w:r>
    </w:p>
    <w:p>
      <w:pPr>
        <w:sectPr>
          <w:pgSz w:w="11900" w:h="16838" w:orient="portrait"/>
          <w:cols w:equalWidth="0" w:num="1">
            <w:col w:w="10219"/>
          </w:cols>
          <w:pgMar w:left="240" w:top="1122"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6900" w:type="dxa"/>
            <w:vAlign w:val="bottom"/>
            <w:gridSpan w:val="2"/>
          </w:tcPr>
          <w:p>
            <w:pPr>
              <w:ind w:left="1700"/>
              <w:spacing w:after="0"/>
              <w:rPr>
                <w:sz w:val="20"/>
                <w:szCs w:val="20"/>
                <w:color w:val="auto"/>
              </w:rPr>
            </w:pPr>
            <w:r>
              <w:rPr>
                <w:rFonts w:ascii="Courier New" w:cs="Courier New" w:eastAsia="Courier New" w:hAnsi="Courier New"/>
                <w:sz w:val="18"/>
                <w:szCs w:val="18"/>
                <w:color w:val="auto"/>
                <w:w w:val="99"/>
              </w:rPr>
              <w:t>WORLD FUEL SERVICES CORPORATION AND SUBSIDIARIES</w:t>
            </w:r>
          </w:p>
        </w:tc>
        <w:tc>
          <w:tcPr>
            <w:tcW w:w="1540" w:type="dxa"/>
            <w:vAlign w:val="bottom"/>
          </w:tcPr>
          <w:p>
            <w:pPr>
              <w:spacing w:after="0"/>
              <w:rPr>
                <w:sz w:val="17"/>
                <w:szCs w:val="17"/>
                <w:color w:val="auto"/>
              </w:rPr>
            </w:pPr>
          </w:p>
        </w:tc>
      </w:tr>
      <w:tr>
        <w:trPr>
          <w:trHeight w:val="405"/>
        </w:trPr>
        <w:tc>
          <w:tcPr>
            <w:tcW w:w="690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CONSOLIDATED STATEMENTS OF CASH FLOWS</w:t>
            </w:r>
          </w:p>
        </w:tc>
        <w:tc>
          <w:tcPr>
            <w:tcW w:w="1540" w:type="dxa"/>
            <w:vAlign w:val="bottom"/>
          </w:tcPr>
          <w:p>
            <w:pPr>
              <w:spacing w:after="0"/>
              <w:rPr>
                <w:sz w:val="24"/>
                <w:szCs w:val="24"/>
                <w:color w:val="auto"/>
              </w:rPr>
            </w:pPr>
          </w:p>
        </w:tc>
      </w:tr>
      <w:tr>
        <w:trPr>
          <w:trHeight w:val="405"/>
        </w:trPr>
        <w:tc>
          <w:tcPr>
            <w:tcW w:w="5020" w:type="dxa"/>
            <w:vAlign w:val="bottom"/>
          </w:tcPr>
          <w:p>
            <w:pPr>
              <w:ind w:left="3700"/>
              <w:spacing w:after="0"/>
              <w:rPr>
                <w:sz w:val="20"/>
                <w:szCs w:val="20"/>
                <w:color w:val="auto"/>
              </w:rPr>
            </w:pPr>
            <w:r>
              <w:rPr>
                <w:rFonts w:ascii="Courier New" w:cs="Courier New" w:eastAsia="Courier New" w:hAnsi="Courier New"/>
                <w:sz w:val="18"/>
                <w:szCs w:val="18"/>
                <w:color w:val="auto"/>
              </w:rPr>
              <w:t>(UNAUDITED)</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5020" w:type="dxa"/>
            <w:vAlign w:val="bottom"/>
          </w:tcPr>
          <w:p>
            <w:pPr>
              <w:ind w:left="3700"/>
              <w:spacing w:after="0"/>
              <w:rPr>
                <w:sz w:val="20"/>
                <w:szCs w:val="20"/>
                <w:color w:val="auto"/>
              </w:rPr>
            </w:pPr>
            <w:r>
              <w:rPr>
                <w:rFonts w:ascii="Courier New" w:cs="Courier New" w:eastAsia="Courier New" w:hAnsi="Courier New"/>
                <w:sz w:val="18"/>
                <w:szCs w:val="18"/>
                <w:color w:val="auto"/>
              </w:rPr>
              <w:t>(Continued)</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05"/>
        </w:trPr>
        <w:tc>
          <w:tcPr>
            <w:tcW w:w="5020" w:type="dxa"/>
            <w:vAlign w:val="bottom"/>
          </w:tcPr>
          <w:p>
            <w:pPr>
              <w:spacing w:after="0"/>
              <w:rPr>
                <w:sz w:val="24"/>
                <w:szCs w:val="24"/>
                <w:color w:val="auto"/>
              </w:rPr>
            </w:pPr>
          </w:p>
        </w:tc>
        <w:tc>
          <w:tcPr>
            <w:tcW w:w="342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NINE MONTHS ENDED</w:t>
            </w:r>
          </w:p>
        </w:tc>
      </w:tr>
      <w:tr>
        <w:trPr>
          <w:trHeight w:val="203"/>
        </w:trPr>
        <w:tc>
          <w:tcPr>
            <w:tcW w:w="5020" w:type="dxa"/>
            <w:vAlign w:val="bottom"/>
          </w:tcPr>
          <w:p>
            <w:pPr>
              <w:spacing w:after="0"/>
              <w:rPr>
                <w:sz w:val="17"/>
                <w:szCs w:val="17"/>
                <w:color w:val="auto"/>
              </w:rPr>
            </w:pPr>
          </w:p>
        </w:tc>
        <w:tc>
          <w:tcPr>
            <w:tcW w:w="34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5020" w:type="dxa"/>
            <w:vAlign w:val="bottom"/>
          </w:tcPr>
          <w:p>
            <w:pPr>
              <w:spacing w:after="0"/>
              <w:rPr>
                <w:sz w:val="17"/>
                <w:szCs w:val="17"/>
                <w:color w:val="auto"/>
              </w:rPr>
            </w:pPr>
          </w:p>
        </w:tc>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1995</w:t>
            </w:r>
          </w:p>
        </w:tc>
        <w:tc>
          <w:tcPr>
            <w:tcW w:w="154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1994</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to property, plant and</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equipment</w:t>
            </w: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 (1,062,000)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(1,383,000)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assets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325,000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450,000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Advances to aviation joint venture</w:t>
            </w: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(370,000)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Repayments from aviation joint venture</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338,000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notes receivable</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1,940,000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676,000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payments for acquisition</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business</w:t>
            </w: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(40,000)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20" w:type="dxa"/>
            <w:vAlign w:val="bottom"/>
          </w:tcPr>
          <w:p>
            <w:pPr>
              <w:ind w:left="420"/>
              <w:spacing w:after="0"/>
              <w:rPr>
                <w:sz w:val="20"/>
                <w:szCs w:val="20"/>
                <w:color w:val="auto"/>
              </w:rPr>
            </w:pPr>
            <w:r>
              <w:rPr>
                <w:rFonts w:ascii="Courier New" w:cs="Courier New" w:eastAsia="Courier New" w:hAnsi="Courier New"/>
                <w:sz w:val="18"/>
                <w:szCs w:val="18"/>
                <w:color w:val="auto"/>
              </w:rPr>
              <w:t>Net cash provided by (used in)</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investing activities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1,501,000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(627,000)</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borrowing under the revolving</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line of credit</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2,000,000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 on common stock</w:t>
            </w: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(660,000)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warrants</w:t>
            </w:r>
          </w:p>
        </w:tc>
        <w:tc>
          <w:tcPr>
            <w:tcW w:w="188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464,000</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exercise of options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863,000</w:t>
            </w:r>
          </w:p>
        </w:tc>
        <w:tc>
          <w:tcPr>
            <w:tcW w:w="1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Repayment of long-term debt</w:t>
            </w:r>
          </w:p>
        </w:tc>
        <w:tc>
          <w:tcPr>
            <w:tcW w:w="18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(209,000)</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cash provided by (used in)</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0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financing activities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1,962,000</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(223,000)</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in cash and cash</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equivalents</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4,170,000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11,120,000</w:t>
            </w:r>
          </w:p>
        </w:tc>
      </w:tr>
      <w:tr>
        <w:trPr>
          <w:trHeight w:val="405"/>
        </w:trPr>
        <w:tc>
          <w:tcPr>
            <w:tcW w:w="5020" w:type="dxa"/>
            <w:vAlign w:val="bottom"/>
          </w:tcPr>
          <w:p>
            <w:pPr>
              <w:spacing w:after="0"/>
              <w:rPr>
                <w:sz w:val="20"/>
                <w:szCs w:val="20"/>
                <w:color w:val="auto"/>
              </w:rPr>
            </w:pPr>
            <w:r>
              <w:rPr>
                <w:rFonts w:ascii="Courier New" w:cs="Courier New" w:eastAsia="Courier New" w:hAnsi="Courier New"/>
                <w:sz w:val="18"/>
                <w:szCs w:val="18"/>
                <w:color w:val="auto"/>
              </w:rPr>
              <w:t>Cash and cash equivalents, at beginning</w:t>
            </w:r>
          </w:p>
        </w:tc>
        <w:tc>
          <w:tcPr>
            <w:tcW w:w="18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period</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10,907,000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7,699,000</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2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at end of</w:t>
            </w:r>
          </w:p>
        </w:tc>
        <w:tc>
          <w:tcPr>
            <w:tcW w:w="18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period</w:t>
            </w: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$ 15,077,000</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$ 18,819,000</w:t>
            </w:r>
          </w:p>
        </w:tc>
      </w:tr>
      <w:tr>
        <w:trPr>
          <w:trHeight w:val="203"/>
        </w:trPr>
        <w:tc>
          <w:tcPr>
            <w:tcW w:w="5020" w:type="dxa"/>
            <w:vAlign w:val="bottom"/>
          </w:tcPr>
          <w:p>
            <w:pPr>
              <w:spacing w:after="0"/>
              <w:rPr>
                <w:sz w:val="17"/>
                <w:szCs w:val="17"/>
                <w:color w:val="auto"/>
              </w:rPr>
            </w:pPr>
          </w:p>
        </w:tc>
        <w:tc>
          <w:tcPr>
            <w:tcW w:w="18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ind w:left="3580"/>
        <w:spacing w:after="0" w:line="238" w:lineRule="auto"/>
        <w:rPr>
          <w:sz w:val="20"/>
          <w:szCs w:val="20"/>
          <w:color w:val="auto"/>
        </w:rPr>
      </w:pPr>
      <w:r>
        <w:rPr>
          <w:rFonts w:ascii="Courier New" w:cs="Courier New" w:eastAsia="Courier New" w:hAnsi="Courier New"/>
          <w:sz w:val="18"/>
          <w:szCs w:val="18"/>
          <w:color w:val="auto"/>
        </w:rPr>
        <w:t>Page 8 of 20</w:t>
      </w:r>
    </w:p>
    <w:p>
      <w:pPr>
        <w:sectPr>
          <w:pgSz w:w="11900" w:h="16838" w:orient="portrait"/>
          <w:cols w:equalWidth="0" w:num="1">
            <w:col w:w="10219"/>
          </w:cols>
          <w:pgMar w:left="240" w:top="1122" w:right="1440" w:bottom="1440" w:gutter="0" w:footer="0" w:header="0"/>
        </w:sectPr>
      </w:pPr>
    </w:p>
    <w:bookmarkStart w:id="7" w:name="page8"/>
    <w:bookmarkEnd w:id="7"/>
    <w:p>
      <w:pPr>
        <w:ind w:left="1700"/>
        <w:spacing w:after="0"/>
        <w:rPr>
          <w:sz w:val="20"/>
          <w:szCs w:val="20"/>
          <w:color w:val="auto"/>
        </w:rPr>
      </w:pPr>
      <w:r>
        <w:rPr>
          <w:rFonts w:ascii="Courier New" w:cs="Courier New" w:eastAsia="Courier New" w:hAnsi="Courier New"/>
          <w:sz w:val="18"/>
          <w:szCs w:val="18"/>
          <w:color w:val="auto"/>
        </w:rPr>
        <w:t>WORLD FUEL SERVICES CORPORATION AND SUBSIDIARIES</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(Continued)</w:t>
      </w:r>
    </w:p>
    <w:p>
      <w:pPr>
        <w:spacing w:after="0" w:line="201" w:lineRule="exact"/>
        <w:rPr>
          <w:sz w:val="20"/>
          <w:szCs w:val="20"/>
          <w:color w:val="auto"/>
        </w:rPr>
      </w:pPr>
    </w:p>
    <w:p>
      <w:pPr>
        <w:jc w:val="center"/>
        <w:ind w:left="2620"/>
        <w:spacing w:after="0"/>
        <w:rPr>
          <w:sz w:val="20"/>
          <w:szCs w:val="20"/>
          <w:color w:val="auto"/>
        </w:rPr>
      </w:pPr>
      <w:r>
        <w:rPr>
          <w:rFonts w:ascii="Courier New" w:cs="Courier New" w:eastAsia="Courier New" w:hAnsi="Courier New"/>
          <w:sz w:val="18"/>
          <w:szCs w:val="18"/>
          <w:color w:val="auto"/>
        </w:rPr>
        <w:t>NINE MONTHS ENDED</w:t>
      </w:r>
    </w:p>
    <w:p>
      <w:pPr>
        <w:jc w:val="center"/>
        <w:ind w:left="2720"/>
        <w:spacing w:after="0" w:line="238" w:lineRule="auto"/>
        <w:rPr>
          <w:sz w:val="20"/>
          <w:szCs w:val="20"/>
          <w:color w:val="auto"/>
        </w:rPr>
      </w:pPr>
      <w:r>
        <w:rPr>
          <w:rFonts w:ascii="Courier New" w:cs="Courier New" w:eastAsia="Courier New" w:hAnsi="Courier New"/>
          <w:sz w:val="18"/>
          <w:szCs w:val="18"/>
          <w:color w:val="auto"/>
        </w:rPr>
        <w:t>DECEMBER 31,</w:t>
      </w:r>
    </w:p>
    <w:p>
      <w:pPr>
        <w:spacing w:after="0" w:line="5" w:lineRule="exact"/>
        <w:rPr>
          <w:sz w:val="20"/>
          <w:szCs w:val="20"/>
          <w:color w:val="auto"/>
        </w:rPr>
      </w:pPr>
    </w:p>
    <w:p>
      <w:pPr>
        <w:jc w:val="center"/>
        <w:ind w:left="27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3040"/>
        <w:spacing w:after="0"/>
        <w:tabs>
          <w:tab w:leader="none" w:pos="12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1994</w:t>
      </w:r>
    </w:p>
    <w:p>
      <w:pPr>
        <w:jc w:val="center"/>
        <w:ind w:left="2720"/>
        <w:spacing w:after="0" w:line="238" w:lineRule="auto"/>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DISCLOSURES OF CASH FLOW</w:t>
      </w:r>
    </w:p>
    <w:p>
      <w:pPr>
        <w:ind w:left="220"/>
        <w:spacing w:after="0" w:line="238" w:lineRule="auto"/>
        <w:rPr>
          <w:sz w:val="20"/>
          <w:szCs w:val="20"/>
          <w:color w:val="auto"/>
        </w:rPr>
      </w:pPr>
      <w:r>
        <w:rPr>
          <w:rFonts w:ascii="Courier New" w:cs="Courier New" w:eastAsia="Courier New" w:hAnsi="Courier New"/>
          <w:sz w:val="18"/>
          <w:szCs w:val="18"/>
          <w:color w:val="auto"/>
        </w:rPr>
        <w:t>INFORMATION:</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Cash paid during the period for:</w:t>
      </w:r>
    </w:p>
    <w:p>
      <w:pPr>
        <w:sectPr>
          <w:pgSz w:w="11900" w:h="16838" w:orient="portrait"/>
          <w:cols w:equalWidth="0" w:num="1">
            <w:col w:w="10219"/>
          </w:cols>
          <w:pgMar w:left="240" w:top="1122" w:right="1440" w:bottom="1440" w:gutter="0" w:footer="0" w:header="0"/>
        </w:sectPr>
      </w:pP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Interest</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52,000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61,000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980" w:space="720"/>
            <w:col w:w="1040" w:space="640"/>
            <w:col w:w="2839"/>
          </w:cols>
          <w:pgMar w:left="240" w:top="1122" w:right="1440" w:bottom="144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Income taxes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$4,996,000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$2,116,000</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4980" w:space="720"/>
            <w:col w:w="1040" w:space="640"/>
            <w:col w:w="2839"/>
          </w:cols>
          <w:pgMar w:left="240" w:top="1122"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SCHEDULE OF NONCASH</w:t>
      </w:r>
    </w:p>
    <w:p>
      <w:pPr>
        <w:ind w:left="220"/>
        <w:spacing w:after="0" w:line="238" w:lineRule="auto"/>
        <w:rPr>
          <w:sz w:val="20"/>
          <w:szCs w:val="20"/>
          <w:color w:val="auto"/>
        </w:rPr>
      </w:pPr>
      <w:r>
        <w:rPr>
          <w:rFonts w:ascii="Courier New" w:cs="Courier New" w:eastAsia="Courier New" w:hAnsi="Courier New"/>
          <w:sz w:val="18"/>
          <w:szCs w:val="18"/>
          <w:color w:val="auto"/>
        </w:rPr>
        <w:t>INVESTING AND FINANCING ACTIVITIES:</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As of December 31, 1995, in accordance with the Acquisition Agreement relating to the Trans-Tec acquisition, the Company has reduced by $255,000 the principal outstanding under the promissory notes issued in connection with the acquisition, because the Company was unable to realize certain of the acquired assets, and was required to pay certain liabilities of the selling corporation.</w:t>
      </w:r>
    </w:p>
    <w:p>
      <w:pPr>
        <w:spacing w:after="0" w:line="185" w:lineRule="exact"/>
        <w:rPr>
          <w:sz w:val="20"/>
          <w:szCs w:val="20"/>
          <w:color w:val="auto"/>
        </w:rPr>
      </w:pPr>
    </w:p>
    <w:p>
      <w:pPr>
        <w:ind w:right="1779" w:firstLine="948"/>
        <w:spacing w:after="0" w:line="273" w:lineRule="auto"/>
        <w:rPr>
          <w:sz w:val="20"/>
          <w:szCs w:val="20"/>
          <w:color w:val="auto"/>
        </w:rPr>
      </w:pPr>
      <w:r>
        <w:rPr>
          <w:rFonts w:ascii="Courier New" w:cs="Courier New" w:eastAsia="Courier New" w:hAnsi="Courier New"/>
          <w:sz w:val="16"/>
          <w:szCs w:val="16"/>
          <w:color w:val="auto"/>
        </w:rPr>
        <w:t>In April 1995, the Company paid $1,300,000, representing its share of the stockholders' class action settlement, by issuing 117,825 shares of the Company's common stock at an agreed upon price of $11.03 per share (restated to reflect the 3-for-2 stock split). Accordingly, as of March 31, 1995, the Company classified the accrued litigation settlement expense as a long-term liability.</w:t>
      </w:r>
    </w:p>
    <w:p>
      <w:pPr>
        <w:spacing w:after="0" w:line="185"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As partial consideration for the sale of certain assets on June 1, 1995, the Company received a $979,000 note receivable with an original maturity date of July 1, 2007. In October 1995, the entire outstanding principal balance was collected in cash, net of a $98,000 pre-payment discount.</w:t>
      </w:r>
    </w:p>
    <w:p>
      <w:pPr>
        <w:spacing w:after="0" w:line="177"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Cash dividends declared, but not yet paid, totaling $402,000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$239,000, were included in the accounts payable balances as of December 31, 1995</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1994, respectively.</w:t>
      </w:r>
    </w:p>
    <w:p>
      <w:pPr>
        <w:spacing w:after="0" w:line="207" w:lineRule="exact"/>
        <w:rPr>
          <w:sz w:val="20"/>
          <w:szCs w:val="20"/>
          <w:color w:val="auto"/>
        </w:rPr>
      </w:pPr>
    </w:p>
    <w:p>
      <w:pPr>
        <w:ind w:left="1160" w:right="2319" w:hanging="631"/>
        <w:spacing w:after="0" w:line="235" w:lineRule="auto"/>
        <w:rPr>
          <w:sz w:val="20"/>
          <w:szCs w:val="20"/>
          <w:color w:val="auto"/>
        </w:rPr>
      </w:pPr>
      <w:r>
        <w:rPr>
          <w:rFonts w:ascii="Courier New" w:cs="Courier New" w:eastAsia="Courier New" w:hAnsi="Courier New"/>
          <w:sz w:val="18"/>
          <w:szCs w:val="18"/>
          <w:color w:val="auto"/>
        </w:rPr>
        <w:t>The accompanying notes to the consolidated financial statements are an integral part of these consolidated statements (unaudited).</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20</w:t>
      </w:r>
    </w:p>
    <w:p>
      <w:pPr>
        <w:sectPr>
          <w:pgSz w:w="11900" w:h="16838" w:orient="portrait"/>
          <w:cols w:equalWidth="0" w:num="1">
            <w:col w:w="10219"/>
          </w:cols>
          <w:pgMar w:left="240" w:top="1122" w:right="1440" w:bottom="1440" w:gutter="0" w:footer="0" w:header="0"/>
          <w:type w:val="continuous"/>
        </w:sectPr>
      </w:pPr>
    </w:p>
    <w:bookmarkStart w:id="8" w:name="page9"/>
    <w:bookmarkEnd w:id="8"/>
    <w:p>
      <w:pPr>
        <w:jc w:val="center"/>
        <w:ind w:right="1779"/>
        <w:spacing w:after="0"/>
        <w:rPr>
          <w:sz w:val="20"/>
          <w:szCs w:val="20"/>
          <w:color w:val="auto"/>
        </w:rPr>
      </w:pPr>
      <w:r>
        <w:rPr>
          <w:rFonts w:ascii="Courier New" w:cs="Courier New" w:eastAsia="Courier New" w:hAnsi="Courier New"/>
          <w:sz w:val="18"/>
          <w:szCs w:val="18"/>
          <w:color w:val="auto"/>
        </w:rPr>
        <w:t>WORLD FUEL SERVICES CORPORATION AND SUBSIDIARIES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NOTES TO THE CONSOLIDATED FINANCIAL STATEMENTS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1"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SIGNIFICANT ACCOUNTING POLICIES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accounting policies followed for quarterly financial reporting are the same as those disclosed in Note 1 of the Notes to the Consolidated Financial Statements included in the Company's Annual Report on Form 10-K for the year ended March 31, 1995.</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ORGANIZATION AND NATURE OF ACQUISITIONS AND DIVESTITURES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On August 21, 1995, the shareholders of International Recovery Corp. approved a change in the Company's name to World Fuel Services Corporation.</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January 1995, the Company entered the marine fuel business through the acquisition of the Trans-Tec group of companies. The acquisition was accounted for as a purchase. Accordingly, the results of operations of Trans-Tec are not reflected in the accompanying consolidated statements of income for either the nine or three months ended December 31, 1994. The following unaudited pro-forma consolidated results of operations for the nine and three months ended December 31, 1994, assume that the Company acquired the Trans-Tec group of companies as of April 1, 1994.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580" w:type="dxa"/>
            <w:vAlign w:val="bottom"/>
          </w:tcPr>
          <w:p>
            <w:pPr>
              <w:jc w:val="center"/>
              <w:ind w:right="432"/>
              <w:spacing w:after="0"/>
              <w:rPr>
                <w:sz w:val="20"/>
                <w:szCs w:val="20"/>
                <w:color w:val="auto"/>
              </w:rPr>
            </w:pPr>
            <w:r>
              <w:rPr>
                <w:rFonts w:ascii="Courier New" w:cs="Courier New" w:eastAsia="Courier New" w:hAnsi="Courier New"/>
                <w:sz w:val="18"/>
                <w:szCs w:val="18"/>
                <w:color w:val="auto"/>
                <w:w w:val="96"/>
              </w:rPr>
              <w:t>PRO-FORMA</w:t>
            </w:r>
          </w:p>
        </w:tc>
        <w:tc>
          <w:tcPr>
            <w:tcW w:w="68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6"/>
              </w:rPr>
              <w:t>PRO-FORMA</w:t>
            </w:r>
          </w:p>
        </w:tc>
      </w:tr>
      <w:tr>
        <w:trPr>
          <w:trHeight w:val="203"/>
        </w:trPr>
        <w:tc>
          <w:tcPr>
            <w:tcW w:w="3060" w:type="dxa"/>
            <w:vAlign w:val="bottom"/>
          </w:tcPr>
          <w:p>
            <w:pPr>
              <w:spacing w:after="0"/>
              <w:rPr>
                <w:sz w:val="17"/>
                <w:szCs w:val="17"/>
                <w:color w:val="auto"/>
              </w:rPr>
            </w:pPr>
          </w:p>
        </w:tc>
        <w:tc>
          <w:tcPr>
            <w:tcW w:w="2900" w:type="dxa"/>
            <w:vAlign w:val="bottom"/>
            <w:gridSpan w:val="2"/>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NINE MONTHS ENDED</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3060" w:type="dxa"/>
            <w:vAlign w:val="bottom"/>
          </w:tcPr>
          <w:p>
            <w:pPr>
              <w:spacing w:after="0"/>
              <w:rPr>
                <w:sz w:val="17"/>
                <w:szCs w:val="17"/>
                <w:color w:val="auto"/>
              </w:rPr>
            </w:pPr>
          </w:p>
        </w:tc>
        <w:tc>
          <w:tcPr>
            <w:tcW w:w="2900" w:type="dxa"/>
            <w:vAlign w:val="bottom"/>
            <w:gridSpan w:val="2"/>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DECEMBER 31, 1994</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DECEMBER 31, 1994</w:t>
            </w:r>
          </w:p>
        </w:tc>
      </w:tr>
      <w:tr>
        <w:trPr>
          <w:trHeight w:val="203"/>
        </w:trPr>
        <w:tc>
          <w:tcPr>
            <w:tcW w:w="3060" w:type="dxa"/>
            <w:vAlign w:val="bottom"/>
          </w:tcPr>
          <w:p>
            <w:pPr>
              <w:spacing w:after="0"/>
              <w:rPr>
                <w:sz w:val="17"/>
                <w:szCs w:val="17"/>
                <w:color w:val="auto"/>
              </w:rPr>
            </w:pPr>
          </w:p>
        </w:tc>
        <w:tc>
          <w:tcPr>
            <w:tcW w:w="2900" w:type="dxa"/>
            <w:vAlign w:val="bottom"/>
            <w:gridSpan w:val="2"/>
          </w:tcPr>
          <w:p>
            <w:pPr>
              <w:jc w:val="center"/>
              <w:ind w:left="712"/>
              <w:spacing w:after="0" w:line="203" w:lineRule="exact"/>
              <w:rPr>
                <w:sz w:val="20"/>
                <w:szCs w:val="20"/>
                <w:color w:val="auto"/>
              </w:rPr>
            </w:pPr>
            <w:r>
              <w:rPr>
                <w:rFonts w:ascii="Courier New" w:cs="Courier New" w:eastAsia="Courier New" w:hAnsi="Courier New"/>
                <w:sz w:val="18"/>
                <w:szCs w:val="18"/>
                <w:color w:val="auto"/>
                <w:w w:val="96"/>
              </w:rPr>
              <w:t>-----------------</w:t>
            </w:r>
          </w:p>
        </w:tc>
        <w:tc>
          <w:tcPr>
            <w:tcW w:w="2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290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$374,610,000</w:t>
            </w:r>
          </w:p>
        </w:tc>
        <w:tc>
          <w:tcPr>
            <w:tcW w:w="206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$116,355,000</w:t>
            </w:r>
          </w:p>
        </w:tc>
      </w:tr>
      <w:tr>
        <w:trPr>
          <w:trHeight w:val="203"/>
        </w:trPr>
        <w:tc>
          <w:tcPr>
            <w:tcW w:w="3060" w:type="dxa"/>
            <w:vAlign w:val="bottom"/>
          </w:tcPr>
          <w:p>
            <w:pPr>
              <w:spacing w:after="0"/>
              <w:rPr>
                <w:sz w:val="17"/>
                <w:szCs w:val="17"/>
                <w:color w:val="auto"/>
              </w:rPr>
            </w:pPr>
          </w:p>
        </w:tc>
        <w:tc>
          <w:tcPr>
            <w:tcW w:w="2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6,561,000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2,276,000</w:t>
            </w:r>
          </w:p>
        </w:tc>
      </w:tr>
      <w:tr>
        <w:trPr>
          <w:trHeight w:val="203"/>
        </w:trPr>
        <w:tc>
          <w:tcPr>
            <w:tcW w:w="3060" w:type="dxa"/>
            <w:vAlign w:val="bottom"/>
          </w:tcPr>
          <w:p>
            <w:pPr>
              <w:spacing w:after="0"/>
              <w:rPr>
                <w:sz w:val="17"/>
                <w:szCs w:val="17"/>
                <w:color w:val="auto"/>
              </w:rPr>
            </w:pPr>
          </w:p>
        </w:tc>
        <w:tc>
          <w:tcPr>
            <w:tcW w:w="2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.84</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.29</w:t>
            </w:r>
          </w:p>
        </w:tc>
      </w:tr>
      <w:tr>
        <w:trPr>
          <w:trHeight w:val="203"/>
        </w:trPr>
        <w:tc>
          <w:tcPr>
            <w:tcW w:w="3060" w:type="dxa"/>
            <w:vAlign w:val="bottom"/>
          </w:tcPr>
          <w:p>
            <w:pPr>
              <w:spacing w:after="0"/>
              <w:rPr>
                <w:sz w:val="17"/>
                <w:szCs w:val="17"/>
                <w:color w:val="auto"/>
              </w:rPr>
            </w:pPr>
          </w:p>
        </w:tc>
        <w:tc>
          <w:tcPr>
            <w:tcW w:w="290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779"/>
        <w:spacing w:after="0" w:line="290" w:lineRule="auto"/>
        <w:rPr>
          <w:sz w:val="20"/>
          <w:szCs w:val="20"/>
          <w:color w:val="auto"/>
        </w:rPr>
      </w:pPr>
      <w:r>
        <w:rPr>
          <w:rFonts w:ascii="Courier New" w:cs="Courier New" w:eastAsia="Courier New" w:hAnsi="Courier New"/>
          <w:sz w:val="16"/>
          <w:szCs w:val="16"/>
          <w:color w:val="auto"/>
        </w:rPr>
        <w:t>The pro-forma consolidated results shown above are not necessarily indicative of those that would have occurred had the acquisition taken place on April 1, 1994.</w:t>
      </w:r>
    </w:p>
    <w:p>
      <w:pPr>
        <w:spacing w:after="0" w:line="16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10 of 20</w:t>
      </w:r>
    </w:p>
    <w:p>
      <w:pPr>
        <w:sectPr>
          <w:pgSz w:w="11900" w:h="16838" w:orient="portrait"/>
          <w:cols w:equalWidth="0" w:num="1">
            <w:col w:w="10219"/>
          </w:cols>
          <w:pgMar w:left="240" w:top="717" w:right="1440" w:bottom="1440" w:gutter="0" w:footer="0" w:header="0"/>
        </w:sectPr>
      </w:pPr>
    </w:p>
    <w:bookmarkStart w:id="9" w:name="page10"/>
    <w:bookmarkEnd w:id="9"/>
    <w:p>
      <w:pPr>
        <w:ind w:right="1779"/>
        <w:spacing w:after="0" w:line="238" w:lineRule="auto"/>
        <w:rPr>
          <w:sz w:val="20"/>
          <w:szCs w:val="20"/>
          <w:color w:val="auto"/>
        </w:rPr>
      </w:pPr>
      <w:r>
        <w:rPr>
          <w:rFonts w:ascii="Courier New" w:cs="Courier New" w:eastAsia="Courier New" w:hAnsi="Courier New"/>
          <w:sz w:val="18"/>
          <w:szCs w:val="18"/>
          <w:color w:val="auto"/>
        </w:rPr>
        <w:t>Effective June 1, 1995, the Company sold substantially all of the operating assets and liabilities of International Petroleum Corporation of Georgia ("IPC-GA"), a subsidiary of the Company engaged in the used oil recycling business, to Universal Refining, LLC ("URL") and Mr. Barry Paul. URL's president is Mr. Barry Paul, the former president of IPC-GA and of the entity from which IPC-GA initially purchased these assets in August 1990. Mr. Paul is the cousin of the Company's President. The sales price was $1,179,000, which closely approximated the Company's carrying values of the net assets sold. At closing, a cash payment of $200,000 and a note receivable for $979,000, with an original maturity date of July 1, 2007, were received. In October 1995, the entire outstanding principal balance was collected in cash, net of a $98,000 pre-payment discount.</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LONG-TERM DEBT</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In June 1995, a mortgage note totalling $177,000, was assumed by the buyer as part of the sale of IPC-GA.</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As of January 26, 1996, the Company had outstanding approximately $5,493,000 in standby letters of credit under the NationsBank credit facility. The Company also had $435,000 outstanding in standby letters of credit from other financing institutions of which $100,000 were cash collaterized.</w:t>
      </w:r>
    </w:p>
    <w:p>
      <w:pPr>
        <w:spacing w:after="0" w:line="202"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STOCKHOLDERS' EQUITY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April 1995, the Company paid $1,300,000, representing its share of the stockholders' class action settlement, by issuing 117,825 shares of the Company's common stock at an agreed upon price of $11.03 per share (restated to reflect the 3-for-2 stock split).</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 June 5, 1995, the Board of Directors approved a 3-for-2 stock split for all shares of common stock outstanding as of June 19, 1995. The shares were distributed on June 27, 1995. Accordingly, all share and per share data, as appropriate, have been retroactively adjusted to reflect the effects of this split.</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On August 21, 1995, the shareholders approved an increase of 300,000 shares of common stock to the total shares available for awards of options pursuant to the Company's 1986 Employee Stock Option Plan.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November 1995, previously granted options to purchase 116,250 shares of the Company's common stock were exercised at prices ranging from $2.00 to $10.08 per share. The proceeds received by the Company from the exercised options totalled $863,000.</w:t>
      </w:r>
    </w:p>
    <w:p>
      <w:pPr>
        <w:spacing w:after="0" w:line="207" w:lineRule="exact"/>
        <w:rPr>
          <w:sz w:val="20"/>
          <w:szCs w:val="20"/>
          <w:color w:val="auto"/>
        </w:rPr>
      </w:pPr>
    </w:p>
    <w:p>
      <w:pPr>
        <w:ind w:left="540" w:right="6639" w:hanging="532"/>
        <w:spacing w:after="0" w:line="536" w:lineRule="auto"/>
        <w:tabs>
          <w:tab w:leader="none" w:pos="5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COMMITMENTS AND CONTINGENCIES CAPITAL EXPENDITURES</w:t>
      </w:r>
    </w:p>
    <w:p>
      <w:pPr>
        <w:spacing w:after="0" w:line="1"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During the balance of fiscal year 1996, the Company anticipates spending approximately $200,000 to upgrade plant, machinery and equipment. The Company also anticipates committing approximately</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11 of 20</w:t>
      </w:r>
    </w:p>
    <w:p>
      <w:pPr>
        <w:sectPr>
          <w:pgSz w:w="11900" w:h="16838" w:orient="portrait"/>
          <w:cols w:equalWidth="0" w:num="1">
            <w:col w:w="10219"/>
          </w:cols>
          <w:pgMar w:left="240" w:top="723" w:right="1440" w:bottom="1440" w:gutter="0" w:footer="0" w:header="0"/>
        </w:sectPr>
      </w:pPr>
    </w:p>
    <w:bookmarkStart w:id="10" w:name="page11"/>
    <w:bookmarkEnd w:id="10"/>
    <w:p>
      <w:pPr>
        <w:ind w:right="1999"/>
        <w:spacing w:after="0" w:line="236" w:lineRule="auto"/>
        <w:rPr>
          <w:sz w:val="20"/>
          <w:szCs w:val="20"/>
          <w:color w:val="auto"/>
        </w:rPr>
      </w:pPr>
      <w:r>
        <w:rPr>
          <w:rFonts w:ascii="Courier New" w:cs="Courier New" w:eastAsia="Courier New" w:hAnsi="Courier New"/>
          <w:sz w:val="18"/>
          <w:szCs w:val="18"/>
          <w:color w:val="auto"/>
        </w:rPr>
        <w:t>$800,000 to upgrade the storage tank facilities of its Louisiana oil recycling plant, with an anticipated completion date in the second half of fiscal year 1997.</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LEGAL MATTERS</w:t>
      </w:r>
    </w:p>
    <w:p>
      <w:pPr>
        <w:spacing w:after="0" w:line="207"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In December 1995, the Company settled a lawsuit filed in January 1993, by Hillsborough County and other plaintiffs, arising from alleged environmental contamination at the County's Sidney Mine disposal facility. The Company paid $350,000, of which $175,000 was reimbursed by another potentially responsible party. The net cost of the settlement to the Company was $175,000.</w:t>
      </w:r>
    </w:p>
    <w:p>
      <w:pPr>
        <w:spacing w:after="0" w:line="17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EMPLOYMENT AGREEMENTS</w:t>
      </w:r>
    </w:p>
    <w:p>
      <w:pPr>
        <w:spacing w:after="0" w:line="207" w:lineRule="exact"/>
        <w:rPr>
          <w:sz w:val="20"/>
          <w:szCs w:val="20"/>
          <w:color w:val="auto"/>
        </w:rPr>
      </w:pPr>
    </w:p>
    <w:p>
      <w:pPr>
        <w:ind w:right="2319"/>
        <w:spacing w:after="0" w:line="290" w:lineRule="auto"/>
        <w:rPr>
          <w:sz w:val="20"/>
          <w:szCs w:val="20"/>
          <w:color w:val="auto"/>
        </w:rPr>
      </w:pPr>
      <w:r>
        <w:rPr>
          <w:rFonts w:ascii="Courier New" w:cs="Courier New" w:eastAsia="Courier New" w:hAnsi="Courier New"/>
          <w:sz w:val="16"/>
          <w:szCs w:val="16"/>
          <w:color w:val="auto"/>
        </w:rPr>
        <w:t>In January 1996, the Company extended until March 31, 2001, the term of its employment agreements with the Chairman of the Board and the President.</w:t>
      </w:r>
    </w:p>
    <w:p>
      <w:pPr>
        <w:spacing w:after="0" w:line="164"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August 1994, the Company, through its wholly-owned subsidiary World Fuel Services, Inc. began operation of a joint venture with Petrosur, an Ecuador corporation. The Company's original ownership interest in the joint venture was 42%. Effective October 1, 1995, the Company's ownership interest was increased to 51%. As part of this new ownership agreement, the Company agreed to a requirement of at least 75% positive vote by the joint venture owners on all significant decisions. Since this new arrangement precludes the Company from having control under generally accepted accounting principles, the Company has continued to use the equity method of accounting to record its proportionate share of joint venture earnings.</w:t>
      </w:r>
    </w:p>
    <w:p>
      <w:pPr>
        <w:spacing w:after="0" w:line="21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nine and three months ended December 31, 1995, the Company recorded in the accompanying consolidated statements of income its proportionate share of the net earnings of the joint venture which amounted to $1,236,000 and $380,000 respectively, included as part of Other income, net.</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12 of 20</w:t>
      </w:r>
    </w:p>
    <w:p>
      <w:pPr>
        <w:sectPr>
          <w:pgSz w:w="11900" w:h="16838" w:orient="portrait"/>
          <w:cols w:equalWidth="0" w:num="1">
            <w:col w:w="10219"/>
          </w:cols>
          <w:pgMar w:left="240" w:top="723" w:right="1440" w:bottom="1440" w:gutter="0" w:footer="0" w:header="0"/>
        </w:sectPr>
      </w:pPr>
    </w:p>
    <w:bookmarkStart w:id="11" w:name="page12"/>
    <w:bookmarkEnd w:id="11"/>
    <w:p>
      <w:pPr>
        <w:spacing w:after="0"/>
        <w:tabs>
          <w:tab w:leader="none" w:pos="220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FINANCIAL CONDITION AND 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In January 1995, the Company entered the marine fuel business through the acquisition of the Trans-Tec group of companies. The Company acquired substantially all of the assets and assumed certain liabilities of Trans-Tec Services, Inc., a New York corporation, and Trans-Tec Servicios, S.A., a Costa Rica corporation, and acquired all of the outstanding stock of Trans-Tec Services (UK), Ltd., a United Kingdom corporation ("UK"). The UK company owns Trans-Tec Services (Singapore) Pte., Ltd. As the acquisition was accounted for as a purchase, the results of operations of Trans-Tec are not reflected in the accompanying consolidated statements of income for the three and nine months ended December 31, 1994. See Note 1 of the notes to the consolidated financial statements.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NINE MONTHS ENDED DECEMBER 31, 1995 COMPARED TO</w:t>
      </w:r>
    </w:p>
    <w:p>
      <w:pPr>
        <w:ind w:left="420"/>
        <w:spacing w:after="0" w:line="238" w:lineRule="auto"/>
        <w:rPr>
          <w:sz w:val="20"/>
          <w:szCs w:val="20"/>
          <w:color w:val="auto"/>
        </w:rPr>
      </w:pPr>
      <w:r>
        <w:rPr>
          <w:rFonts w:ascii="Courier New" w:cs="Courier New" w:eastAsia="Courier New" w:hAnsi="Courier New"/>
          <w:sz w:val="18"/>
          <w:szCs w:val="18"/>
          <w:color w:val="auto"/>
        </w:rPr>
        <w:t>THE NINE MONTHS ENDED DECEMBER 31, 1994</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The Company's revenue for the nine months ended December 31, 1995 was $451,289,000, an increase of $224,002,000, or 98.6%, as compared to revenue of $227,287,000 for the corresponding period the prior year. The Company's revenue during these periods was attributable to the following segments: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3320" w:type="dxa"/>
            <w:vAlign w:val="bottom"/>
          </w:tcPr>
          <w:p>
            <w:pPr>
              <w:spacing w:after="0"/>
              <w:rPr>
                <w:sz w:val="17"/>
                <w:szCs w:val="17"/>
                <w:color w:val="auto"/>
              </w:rPr>
            </w:pPr>
          </w:p>
        </w:tc>
        <w:tc>
          <w:tcPr>
            <w:tcW w:w="2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NINE MONTHS ENDED</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DECEMBER 31,</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3320" w:type="dxa"/>
            <w:vAlign w:val="bottom"/>
          </w:tcPr>
          <w:p>
            <w:pPr>
              <w:spacing w:after="0"/>
              <w:rPr>
                <w:sz w:val="17"/>
                <w:szCs w:val="17"/>
                <w:color w:val="auto"/>
              </w:rPr>
            </w:pPr>
          </w:p>
        </w:tc>
        <w:tc>
          <w:tcPr>
            <w:tcW w:w="2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1995</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1994</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(DECREASE)</w:t>
            </w:r>
          </w:p>
        </w:tc>
      </w:tr>
      <w:tr>
        <w:trPr>
          <w:trHeight w:val="203"/>
        </w:trPr>
        <w:tc>
          <w:tcPr>
            <w:tcW w:w="3320" w:type="dxa"/>
            <w:vAlign w:val="bottom"/>
          </w:tcPr>
          <w:p>
            <w:pPr>
              <w:spacing w:after="0"/>
              <w:rPr>
                <w:sz w:val="17"/>
                <w:szCs w:val="17"/>
                <w:color w:val="auto"/>
              </w:rPr>
            </w:pPr>
          </w:p>
        </w:tc>
        <w:tc>
          <w:tcPr>
            <w:tcW w:w="24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$214,180,000</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$ 213,492,000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0.3%</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223,641,000</w:t>
            </w:r>
          </w:p>
        </w:tc>
        <w:tc>
          <w:tcPr>
            <w:tcW w:w="170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13,468,000</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13,801,000</w:t>
            </w: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Intersegment Eliminations</w:t>
            </w:r>
          </w:p>
        </w:tc>
        <w:tc>
          <w:tcPr>
            <w:tcW w:w="2420" w:type="dxa"/>
            <w:vAlign w:val="bottom"/>
          </w:tcPr>
          <w:p>
            <w:pPr>
              <w:jc w:val="right"/>
              <w:ind w:right="79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(6,000)</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2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$451,289,000</w:t>
            </w:r>
          </w:p>
        </w:tc>
        <w:tc>
          <w:tcPr>
            <w:tcW w:w="17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$ 227,287,000</w:t>
            </w:r>
          </w:p>
        </w:tc>
        <w:tc>
          <w:tcPr>
            <w:tcW w:w="12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98.6%</w:t>
            </w:r>
          </w:p>
        </w:tc>
      </w:tr>
      <w:tr>
        <w:trPr>
          <w:trHeight w:val="203"/>
        </w:trPr>
        <w:tc>
          <w:tcPr>
            <w:tcW w:w="3320" w:type="dxa"/>
            <w:vAlign w:val="bottom"/>
          </w:tcPr>
          <w:p>
            <w:pPr>
              <w:spacing w:after="0"/>
              <w:rPr>
                <w:sz w:val="17"/>
                <w:szCs w:val="17"/>
                <w:color w:val="auto"/>
              </w:rPr>
            </w:pPr>
          </w:p>
        </w:tc>
        <w:tc>
          <w:tcPr>
            <w:tcW w:w="2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320" w:type="dxa"/>
            <w:vAlign w:val="bottom"/>
          </w:tcPr>
          <w:p>
            <w:pPr>
              <w:ind w:left="320"/>
              <w:spacing w:after="0"/>
              <w:rPr>
                <w:sz w:val="20"/>
                <w:szCs w:val="20"/>
                <w:color w:val="auto"/>
              </w:rPr>
            </w:pPr>
            <w:r>
              <w:rPr>
                <w:rFonts w:ascii="Courier New" w:cs="Courier New" w:eastAsia="Courier New" w:hAnsi="Courier New"/>
                <w:sz w:val="18"/>
                <w:szCs w:val="18"/>
                <w:color w:val="auto"/>
              </w:rPr>
              <w:t>* Percent not meaningful</w:t>
            </w:r>
          </w:p>
        </w:tc>
        <w:tc>
          <w:tcPr>
            <w:tcW w:w="2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aviation fueling segment contributed $214,180,000 in revenue for the nine months ended December 31, 1995. This represented an increase in revenue of $688,000, or 0.3%, as compared to the same period last year. This increase in revenue was due to an increase in the average price per gallon sold. Partially offsetting was an overall volume decrease in narrow margin bulk transactions, and the termination of the fuel terminaling operations conducted at Miami International Airport, which contract was not renewed effective June 30, 1994. The marine fueling segment contributed $223,641,000 in revenue. The oil recycling segment contributed $13,468,000 in revenue for the nine months ended December 31, 1995, a decrease of $333,000, or 2.4%, as compared to the same period last year. The revenue decrease was due primarily to the sale of its Georgia operations. Partially offsetting were higher used oil and waste water collection revenues.</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13 of 20</w:t>
      </w:r>
    </w:p>
    <w:p>
      <w:pPr>
        <w:sectPr>
          <w:pgSz w:w="11900" w:h="16838" w:orient="portrait"/>
          <w:cols w:equalWidth="0" w:num="1">
            <w:col w:w="10219"/>
          </w:cols>
          <w:pgMar w:left="240" w:top="919" w:right="1440" w:bottom="1440" w:gutter="0" w:footer="0" w:header="0"/>
        </w:sectPr>
      </w:pPr>
    </w:p>
    <w:bookmarkStart w:id="12" w:name="page13"/>
    <w:bookmarkEnd w:id="12"/>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gross profit of $29,413,000 increased by $10,638,000, or 56.7%, as compared to the same period last year. The Company's gross margin decreased from 8.3% for the nine months ended December 31, 1994, to 6.5% for the nine months ended December 31, 1995.</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Company's aviation fueling business achieved a 7.1% gross margin for the nine months ended December 31, 1995, as compared to 6.8% achieved for the same period during the prior fiscal year. The increase in the gross margin was largely attributed to a reduction in narrow margin bulk transactions. The Company's marine fueling segment achieved a 4.4% gross margin for the nine months ended December 31, 1995. The gross margin in the Company's oil recycling segment increased from 31.4% for the nine months ended December 31, 1994, to 33.2%, for the nine months ended December 31, 1995. The increase in the gross margin was due to higher used oil and waste water collection gross profit.</w:t>
      </w:r>
    </w:p>
    <w:p>
      <w:pPr>
        <w:spacing w:after="0" w:line="184"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Total operating expenses for the nine months ended December 31, 1995 were $17,971,000, an increase of $7,355,000, or 69.3%, as compared to the same period a year ago. This increase resulted from operating expenses of the marine fueling segment, which totalled $7,427,000, and higher corporate overhead salaries and payroll related costs totalling $843,000. Partially offsetting was an $888,000 decrease in the aviation segment provision for bad debts. In relation to revenue, total operating expenses decreased from 4.7% to 4.0%.</w:t>
      </w:r>
    </w:p>
    <w:p>
      <w:pPr>
        <w:spacing w:after="0" w:line="18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Company's income from operations for the nine months ended December 31, 1995 was $11,442,000, an increase of $3,283,000, or 40.2%, as compared to the same period a year ago. Income from operations during these periods was attributable to the following segments: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17"/>
                <w:szCs w:val="17"/>
                <w:color w:val="auto"/>
              </w:rPr>
            </w:pPr>
          </w:p>
        </w:tc>
        <w:tc>
          <w:tcPr>
            <w:tcW w:w="452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NINE MONTHS ENDED DECEMBER 31,</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860" w:type="dxa"/>
            <w:vAlign w:val="bottom"/>
          </w:tcPr>
          <w:p>
            <w:pPr>
              <w:spacing w:after="0"/>
              <w:rPr>
                <w:sz w:val="17"/>
                <w:szCs w:val="17"/>
                <w:color w:val="auto"/>
              </w:rPr>
            </w:pPr>
          </w:p>
        </w:tc>
        <w:tc>
          <w:tcPr>
            <w:tcW w:w="2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1995</w:t>
            </w:r>
          </w:p>
        </w:tc>
        <w:tc>
          <w:tcPr>
            <w:tcW w:w="16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INCREASE</w:t>
            </w:r>
          </w:p>
        </w:tc>
      </w:tr>
      <w:tr>
        <w:trPr>
          <w:trHeight w:val="203"/>
        </w:trPr>
        <w:tc>
          <w:tcPr>
            <w:tcW w:w="2860" w:type="dxa"/>
            <w:vAlign w:val="bottom"/>
          </w:tcPr>
          <w:p>
            <w:pPr>
              <w:spacing w:after="0"/>
              <w:rPr>
                <w:sz w:val="17"/>
                <w:szCs w:val="17"/>
                <w:color w:val="auto"/>
              </w:rPr>
            </w:pPr>
          </w:p>
        </w:tc>
        <w:tc>
          <w:tcPr>
            <w:tcW w:w="2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8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$ 10,403,000</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$ 8,719,000</w:t>
            </w:r>
          </w:p>
        </w:tc>
        <w:tc>
          <w:tcPr>
            <w:tcW w:w="1260" w:type="dxa"/>
            <w:vAlign w:val="bottom"/>
          </w:tcPr>
          <w:p>
            <w:pPr>
              <w:ind w:left="520"/>
              <w:spacing w:after="0"/>
              <w:rPr>
                <w:sz w:val="20"/>
                <w:szCs w:val="20"/>
                <w:color w:val="auto"/>
              </w:rPr>
            </w:pPr>
            <w:r>
              <w:rPr>
                <w:rFonts w:ascii="Courier New" w:cs="Courier New" w:eastAsia="Courier New" w:hAnsi="Courier New"/>
                <w:sz w:val="18"/>
                <w:szCs w:val="18"/>
                <w:color w:val="auto"/>
              </w:rPr>
              <w:t>19.3%</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2,332,000</w:t>
            </w:r>
          </w:p>
        </w:tc>
        <w:tc>
          <w:tcPr>
            <w:tcW w:w="1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2,699,000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2,290,000</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17.9</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2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(3,992,000)</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(2,850,000)</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40.1</w:t>
            </w:r>
          </w:p>
        </w:tc>
      </w:tr>
      <w:tr>
        <w:trPr>
          <w:trHeight w:val="203"/>
        </w:trPr>
        <w:tc>
          <w:tcPr>
            <w:tcW w:w="2860" w:type="dxa"/>
            <w:vAlign w:val="bottom"/>
          </w:tcPr>
          <w:p>
            <w:pPr>
              <w:spacing w:after="0"/>
              <w:rPr>
                <w:sz w:val="17"/>
                <w:szCs w:val="17"/>
                <w:color w:val="auto"/>
              </w:rPr>
            </w:pP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Income from</w:t>
            </w:r>
          </w:p>
        </w:tc>
        <w:tc>
          <w:tcPr>
            <w:tcW w:w="2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2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$ 11,442,000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$ 8,159,000</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40.2%</w:t>
            </w:r>
          </w:p>
        </w:tc>
      </w:tr>
      <w:tr>
        <w:trPr>
          <w:trHeight w:val="203"/>
        </w:trPr>
        <w:tc>
          <w:tcPr>
            <w:tcW w:w="2860" w:type="dxa"/>
            <w:vAlign w:val="bottom"/>
          </w:tcPr>
          <w:p>
            <w:pPr>
              <w:spacing w:after="0"/>
              <w:rPr>
                <w:sz w:val="17"/>
                <w:szCs w:val="17"/>
                <w:color w:val="auto"/>
              </w:rPr>
            </w:pPr>
          </w:p>
        </w:tc>
        <w:tc>
          <w:tcPr>
            <w:tcW w:w="2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 Percent not meaningful.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Income from operations of the aviation fueling segment increased</w:t>
      </w:r>
    </w:p>
    <w:p>
      <w:pPr>
        <w:spacing w:after="0" w:line="238" w:lineRule="auto"/>
        <w:rPr>
          <w:sz w:val="20"/>
          <w:szCs w:val="20"/>
          <w:color w:val="auto"/>
        </w:rPr>
      </w:pPr>
      <w:r>
        <w:rPr>
          <w:rFonts w:ascii="Courier New" w:cs="Courier New" w:eastAsia="Courier New" w:hAnsi="Courier New"/>
          <w:sz w:val="18"/>
          <w:szCs w:val="18"/>
          <w:color w:val="auto"/>
        </w:rPr>
        <w:t>$1,684,000, or 19.3%, for the nine months ended December 31, 1995, as compared</w:t>
      </w:r>
    </w:p>
    <w:p>
      <w:pPr>
        <w:spacing w:after="0"/>
        <w:rPr>
          <w:sz w:val="20"/>
          <w:szCs w:val="20"/>
          <w:color w:val="auto"/>
        </w:rPr>
      </w:pPr>
      <w:r>
        <w:rPr>
          <w:rFonts w:ascii="Courier New" w:cs="Courier New" w:eastAsia="Courier New" w:hAnsi="Courier New"/>
          <w:sz w:val="18"/>
          <w:szCs w:val="18"/>
          <w:color w:val="auto"/>
        </w:rPr>
        <w:t>to the nine months ended December 31, 1994. This improvement resulted from an</w:t>
      </w:r>
    </w:p>
    <w:p>
      <w:pPr>
        <w:spacing w:after="0" w:line="237" w:lineRule="auto"/>
        <w:rPr>
          <w:sz w:val="20"/>
          <w:szCs w:val="20"/>
          <w:color w:val="auto"/>
        </w:rPr>
      </w:pPr>
      <w:r>
        <w:rPr>
          <w:rFonts w:ascii="Courier New" w:cs="Courier New" w:eastAsia="Courier New" w:hAnsi="Courier New"/>
          <w:sz w:val="18"/>
          <w:szCs w:val="18"/>
          <w:color w:val="auto"/>
        </w:rPr>
        <w:t>increase in the average gross profit per gallon sold, and a decrease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provision for bad debts. Partially offsetting were an overall volume decrease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narrow margin bulk transactions, and the termination of the Company's fuel</w:t>
      </w:r>
    </w:p>
    <w:p>
      <w:pPr>
        <w:spacing w:after="0" w:line="238" w:lineRule="auto"/>
        <w:rPr>
          <w:sz w:val="20"/>
          <w:szCs w:val="20"/>
          <w:color w:val="auto"/>
        </w:rPr>
      </w:pPr>
      <w:r>
        <w:rPr>
          <w:rFonts w:ascii="Courier New" w:cs="Courier New" w:eastAsia="Courier New" w:hAnsi="Courier New"/>
          <w:sz w:val="18"/>
          <w:szCs w:val="18"/>
          <w:color w:val="auto"/>
        </w:rPr>
        <w:t>terminaling activities. The marine fueling segment earned $2,332,000 in income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operations for the nine months ended December 31, 1995. The gross profit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this segment was $9,759,000, reduced by $7,427,000 in operating expenses. Income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from operations of the oil recycling segment increased by $409,000, or 17.9%,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nine months ended December 31, 1995, as compared to the same period last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year. This improvement resulted from</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14 of 20</w:t>
      </w:r>
    </w:p>
    <w:p>
      <w:pPr>
        <w:sectPr>
          <w:pgSz w:w="11900" w:h="16838" w:orient="portrait"/>
          <w:cols w:equalWidth="0" w:num="1">
            <w:col w:w="10219"/>
          </w:cols>
          <w:pgMar w:left="240" w:top="723"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lower operating expenses and a higher average gross profit per gallon sold.</w:t>
      </w:r>
    </w:p>
    <w:p>
      <w:pPr>
        <w:spacing w:after="0" w:line="238" w:lineRule="auto"/>
        <w:rPr>
          <w:sz w:val="20"/>
          <w:szCs w:val="20"/>
          <w:color w:val="auto"/>
        </w:rPr>
      </w:pPr>
      <w:r>
        <w:rPr>
          <w:rFonts w:ascii="Courier New" w:cs="Courier New" w:eastAsia="Courier New" w:hAnsi="Courier New"/>
          <w:sz w:val="18"/>
          <w:szCs w:val="18"/>
          <w:color w:val="auto"/>
        </w:rPr>
        <w:t>Partially offsetting was a volume decrease.</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Corporate overhead costs not charged to the business segments totalled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$3,992,000 for the nine months ended December 31, 1995, an increase of</w:t>
      </w:r>
    </w:p>
    <w:p>
      <w:pPr>
        <w:spacing w:after="0" w:line="238" w:lineRule="auto"/>
        <w:rPr>
          <w:sz w:val="20"/>
          <w:szCs w:val="20"/>
          <w:color w:val="auto"/>
        </w:rPr>
      </w:pPr>
      <w:r>
        <w:rPr>
          <w:rFonts w:ascii="Courier New" w:cs="Courier New" w:eastAsia="Courier New" w:hAnsi="Courier New"/>
          <w:sz w:val="18"/>
          <w:szCs w:val="18"/>
          <w:color w:val="auto"/>
        </w:rPr>
        <w:t>$1,142,000, or 40.1%, as compared to the same period last year. This increase</w:t>
      </w:r>
    </w:p>
    <w:p>
      <w:pPr>
        <w:spacing w:after="0"/>
        <w:rPr>
          <w:sz w:val="20"/>
          <w:szCs w:val="20"/>
          <w:color w:val="auto"/>
        </w:rPr>
      </w:pPr>
      <w:r>
        <w:rPr>
          <w:rFonts w:ascii="Courier New" w:cs="Courier New" w:eastAsia="Courier New" w:hAnsi="Courier New"/>
          <w:sz w:val="18"/>
          <w:szCs w:val="18"/>
          <w:color w:val="auto"/>
        </w:rPr>
        <w:t>was due largely to higher salaries and payroll related costs. In relation to</w:t>
      </w:r>
    </w:p>
    <w:p>
      <w:pPr>
        <w:spacing w:after="0" w:line="237" w:lineRule="auto"/>
        <w:rPr>
          <w:sz w:val="20"/>
          <w:szCs w:val="20"/>
          <w:color w:val="auto"/>
        </w:rPr>
      </w:pPr>
      <w:r>
        <w:rPr>
          <w:rFonts w:ascii="Courier New" w:cs="Courier New" w:eastAsia="Courier New" w:hAnsi="Courier New"/>
          <w:sz w:val="18"/>
          <w:szCs w:val="18"/>
          <w:color w:val="auto"/>
        </w:rPr>
        <w:t>revenue, total corporate overhead decreased to 0.9% for the nine months ended</w:t>
      </w:r>
    </w:p>
    <w:p>
      <w:pPr>
        <w:spacing w:after="0" w:line="238" w:lineRule="auto"/>
        <w:rPr>
          <w:sz w:val="20"/>
          <w:szCs w:val="20"/>
          <w:color w:val="auto"/>
        </w:rPr>
      </w:pPr>
      <w:r>
        <w:rPr>
          <w:rFonts w:ascii="Courier New" w:cs="Courier New" w:eastAsia="Courier New" w:hAnsi="Courier New"/>
          <w:sz w:val="18"/>
          <w:szCs w:val="18"/>
          <w:color w:val="auto"/>
        </w:rPr>
        <w:t>December 31, 1995, as compared to 1.3% for the same period a year prior.</w:t>
      </w:r>
    </w:p>
    <w:p>
      <w:pPr>
        <w:spacing w:after="0" w:line="208"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For the nine months ended December 31, 1995, the Company had net other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of $1,279,000, an increase of $273,000 over the same period a year ago.</w:t>
      </w:r>
    </w:p>
    <w:p>
      <w:pPr>
        <w:spacing w:after="0" w:line="238" w:lineRule="auto"/>
        <w:rPr>
          <w:sz w:val="20"/>
          <w:szCs w:val="20"/>
          <w:color w:val="auto"/>
        </w:rPr>
      </w:pPr>
      <w:r>
        <w:rPr>
          <w:rFonts w:ascii="Courier New" w:cs="Courier New" w:eastAsia="Courier New" w:hAnsi="Courier New"/>
          <w:sz w:val="18"/>
          <w:szCs w:val="18"/>
          <w:color w:val="auto"/>
        </w:rPr>
        <w:t>This increase was due to a $1,020,000 increase in equity earnings of the</w:t>
      </w:r>
    </w:p>
    <w:p>
      <w:pPr>
        <w:spacing w:after="0"/>
        <w:rPr>
          <w:sz w:val="20"/>
          <w:szCs w:val="20"/>
          <w:color w:val="auto"/>
        </w:rPr>
      </w:pPr>
      <w:r>
        <w:rPr>
          <w:rFonts w:ascii="Courier New" w:cs="Courier New" w:eastAsia="Courier New" w:hAnsi="Courier New"/>
          <w:sz w:val="18"/>
          <w:szCs w:val="18"/>
          <w:color w:val="auto"/>
        </w:rPr>
        <w:t>Company's aviation fueling joint venture in Ecuador. Partially offsetting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decline in foreign currency exchange gains in the third quarter of fiscal year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1995, the Hillsborough County litigation settlement, and a decline in net</w:t>
      </w:r>
    </w:p>
    <w:p>
      <w:pPr>
        <w:spacing w:after="0" w:line="238" w:lineRule="auto"/>
        <w:rPr>
          <w:sz w:val="20"/>
          <w:szCs w:val="20"/>
          <w:color w:val="auto"/>
        </w:rPr>
      </w:pPr>
      <w:r>
        <w:rPr>
          <w:rFonts w:ascii="Courier New" w:cs="Courier New" w:eastAsia="Courier New" w:hAnsi="Courier New"/>
          <w:sz w:val="18"/>
          <w:szCs w:val="18"/>
          <w:color w:val="auto"/>
        </w:rPr>
        <w:t>interest income resulting from the financing of receivables.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Net income for the nine months ended December 31, 1995 was $8,061,000, an increase of $2,303,000, as compared to net income for the nine months ended December 31, 1994. Earnings per share of $1.00 for the nine months ended December 31, 1995 exhibited a $.20, or 25% increase over the $.80 achieved during the same period last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THREE MONTHS ENDED DECEMBER 31, 1995 COMPARED TO</w:t>
      </w:r>
    </w:p>
    <w:p>
      <w:pPr>
        <w:ind w:left="420"/>
        <w:spacing w:after="0" w:line="238" w:lineRule="auto"/>
        <w:rPr>
          <w:sz w:val="20"/>
          <w:szCs w:val="20"/>
          <w:color w:val="auto"/>
        </w:rPr>
      </w:pPr>
      <w:r>
        <w:rPr>
          <w:rFonts w:ascii="Courier New" w:cs="Courier New" w:eastAsia="Courier New" w:hAnsi="Courier New"/>
          <w:sz w:val="18"/>
          <w:szCs w:val="18"/>
          <w:color w:val="auto"/>
        </w:rPr>
        <w:t>THE THREE MONTHS ENDED DECEMBER 31, 1994</w:t>
      </w:r>
    </w:p>
    <w:p>
      <w:pPr>
        <w:spacing w:after="0" w:line="207" w:lineRule="exact"/>
        <w:rPr>
          <w:sz w:val="20"/>
          <w:szCs w:val="20"/>
          <w:color w:val="auto"/>
        </w:rPr>
      </w:pPr>
    </w:p>
    <w:p>
      <w:pPr>
        <w:ind w:right="1879" w:firstLine="948"/>
        <w:spacing w:after="0" w:line="275" w:lineRule="auto"/>
        <w:rPr>
          <w:sz w:val="20"/>
          <w:szCs w:val="20"/>
          <w:color w:val="auto"/>
        </w:rPr>
      </w:pPr>
      <w:r>
        <w:rPr>
          <w:rFonts w:ascii="Courier New" w:cs="Courier New" w:eastAsia="Courier New" w:hAnsi="Courier New"/>
          <w:sz w:val="16"/>
          <w:szCs w:val="16"/>
          <w:color w:val="auto"/>
        </w:rPr>
        <w:t>The Company's revenue for the three months ended December 31, 1995 was $166,671,000, an increase of $88,568,000, or 113.4%, as compared to revenue of $78,103,000 for the corresponding period the prior year. The Company's revenue during these periods was attributable to the following segments:</w:t>
      </w: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17"/>
                <w:szCs w:val="17"/>
                <w:color w:val="auto"/>
              </w:rPr>
            </w:pPr>
          </w:p>
        </w:tc>
        <w:tc>
          <w:tcPr>
            <w:tcW w:w="448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THREE MONTHS ENDED DECEMBER 31,</w:t>
            </w:r>
          </w:p>
        </w:tc>
        <w:tc>
          <w:tcPr>
            <w:tcW w:w="1320" w:type="dxa"/>
            <w:vAlign w:val="bottom"/>
          </w:tcPr>
          <w:p>
            <w:pPr>
              <w:ind w:left="48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220" w:type="dxa"/>
            <w:vAlign w:val="bottom"/>
          </w:tcPr>
          <w:p>
            <w:pPr>
              <w:spacing w:after="0"/>
              <w:rPr>
                <w:sz w:val="17"/>
                <w:szCs w:val="17"/>
                <w:color w:val="auto"/>
              </w:rPr>
            </w:pP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1995</w:t>
            </w:r>
          </w:p>
        </w:tc>
        <w:tc>
          <w:tcPr>
            <w:tcW w:w="216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1994</w:t>
            </w: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INCREASE</w:t>
            </w:r>
          </w:p>
        </w:tc>
      </w:tr>
      <w:tr>
        <w:trPr>
          <w:trHeight w:val="203"/>
        </w:trPr>
        <w:tc>
          <w:tcPr>
            <w:tcW w:w="2220" w:type="dxa"/>
            <w:vAlign w:val="bottom"/>
          </w:tcPr>
          <w:p>
            <w:pPr>
              <w:spacing w:after="0"/>
              <w:rPr>
                <w:sz w:val="17"/>
                <w:szCs w:val="17"/>
                <w:color w:val="auto"/>
              </w:rPr>
            </w:pP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$ 77,782,000</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$73,437,000</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83,705,000</w:t>
            </w:r>
          </w:p>
        </w:tc>
        <w:tc>
          <w:tcPr>
            <w:tcW w:w="216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5,184,000</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4,666,000</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2220" w:type="dxa"/>
            <w:vAlign w:val="bottom"/>
          </w:tcPr>
          <w:p>
            <w:pPr>
              <w:spacing w:after="0"/>
              <w:rPr>
                <w:sz w:val="17"/>
                <w:szCs w:val="17"/>
                <w:color w:val="auto"/>
              </w:rPr>
            </w:pP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405"/>
        </w:trPr>
        <w:tc>
          <w:tcPr>
            <w:tcW w:w="2220" w:type="dxa"/>
            <w:vAlign w:val="bottom"/>
          </w:tcPr>
          <w:p>
            <w:pPr>
              <w:spacing w:after="0"/>
              <w:rPr>
                <w:sz w:val="20"/>
                <w:szCs w:val="20"/>
                <w:color w:val="auto"/>
              </w:rPr>
            </w:pPr>
            <w:r>
              <w:rPr>
                <w:rFonts w:ascii="Courier New" w:cs="Courier New" w:eastAsia="Courier New" w:hAnsi="Courier New"/>
                <w:sz w:val="18"/>
                <w:szCs w:val="18"/>
                <w:color w:val="auto"/>
              </w:rPr>
              <w:t>Total Revenue</w:t>
            </w:r>
          </w:p>
        </w:tc>
        <w:tc>
          <w:tcPr>
            <w:tcW w:w="23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$166,671,000</w:t>
            </w:r>
          </w:p>
        </w:tc>
        <w:tc>
          <w:tcPr>
            <w:tcW w:w="21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$78,103,000</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113.4%</w:t>
            </w:r>
          </w:p>
        </w:tc>
      </w:tr>
      <w:tr>
        <w:trPr>
          <w:trHeight w:val="203"/>
        </w:trPr>
        <w:tc>
          <w:tcPr>
            <w:tcW w:w="2220" w:type="dxa"/>
            <w:vAlign w:val="bottom"/>
          </w:tcPr>
          <w:p>
            <w:pPr>
              <w:spacing w:after="0"/>
              <w:rPr>
                <w:sz w:val="17"/>
                <w:szCs w:val="17"/>
                <w:color w:val="auto"/>
              </w:rPr>
            </w:pPr>
          </w:p>
        </w:tc>
        <w:tc>
          <w:tcPr>
            <w:tcW w:w="2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Percent not meaningful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The aviation fueling segment contributed $77,782,000 of revenue for the three months ended December 31, 1995. This represented an increase in revenue of $4,345,000, or 5.9%, as compared to the same period last year. This increase in revenue was due to an increase in the average price per gallon sold. The marine fueling segment contributed $83,705,000 in revenues. The oil recycling segment contributed $5,184,000 of revenue for the three months ended December 31, 1995. This was an increase in revenue of $518,000, or 11.1% as compared to the same period last year. This increase in revenue was</w:t>
      </w:r>
    </w:p>
    <w:p>
      <w:pPr>
        <w:spacing w:after="0" w:line="20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15 of 20</w:t>
      </w:r>
    </w:p>
    <w:p>
      <w:pPr>
        <w:sectPr>
          <w:pgSz w:w="11900" w:h="16838" w:orient="portrait"/>
          <w:cols w:equalWidth="0" w:num="1">
            <w:col w:w="10219"/>
          </w:cols>
          <w:pgMar w:left="240" w:top="717" w:right="1440" w:bottom="1440" w:gutter="0" w:footer="0" w:header="0"/>
        </w:sectPr>
      </w:pPr>
    </w:p>
    <w:bookmarkStart w:id="14" w:name="page15"/>
    <w:bookmarkEnd w:id="14"/>
    <w:p>
      <w:pPr>
        <w:ind w:right="1779"/>
        <w:spacing w:after="0" w:line="236" w:lineRule="auto"/>
        <w:rPr>
          <w:sz w:val="20"/>
          <w:szCs w:val="20"/>
          <w:color w:val="auto"/>
        </w:rPr>
      </w:pPr>
      <w:r>
        <w:rPr>
          <w:rFonts w:ascii="Courier New" w:cs="Courier New" w:eastAsia="Courier New" w:hAnsi="Courier New"/>
          <w:sz w:val="18"/>
          <w:szCs w:val="18"/>
          <w:color w:val="auto"/>
        </w:rPr>
        <w:t>due primarily to higher sales volume and higher used oil and waste water collection revenues. Partially offsetting was a revenue decrease due to the sale of the Georgia operations.</w:t>
      </w:r>
    </w:p>
    <w:p>
      <w:pPr>
        <w:spacing w:after="0" w:line="209"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gross profit of $10,328,000 increased by $4,526,000, or 78.0%, as compared to the same period last year. The Company's gross margin decreased from 7.4% for the three months ended December 31, 1994, to 6.2% for the three months ended December 31, 1995.</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Company's aviation fueling business achieved a 6.4% gross margin for the three months ended December 31, 1995, as compared to 5.9% achieved for the same period during the prior fiscal year. The Company's marine fueling segment achieved a 4.3% gross margin for the three months ended December 31, 1995. The gross margin in the Company's oil recycling segment increased from 32.3% for the three months ended December 31, 1994, to 34.0% for the three months ended December 31, 1995.</w:t>
      </w:r>
    </w:p>
    <w:p>
      <w:pPr>
        <w:spacing w:after="0" w:line="211"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Total operating expenses for the three months ended December 31, 1995 were $6,292,000, an increase of $3,101,000, or 97.2%, as compared to the same period a year ago. This increase resulted primarily from operating expenses of the marine segment, totalling $2,719,000, and higher corporate overhead salaries and payroll related costs totalling $317,000. In relation to revenue, total operating expenses decreased from 4.1% to 3.8%.</w:t>
      </w:r>
    </w:p>
    <w:p>
      <w:pPr>
        <w:spacing w:after="0" w:line="210"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The Company's income from operations for the three months ended December 31, 1995 was $4,036,000, an increase of $1,425,000, or 54.6%, as compared to the same period a year ago. Income from operations during these periods was attributable to the following segments: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17"/>
                <w:szCs w:val="17"/>
                <w:color w:val="auto"/>
              </w:rPr>
            </w:pPr>
          </w:p>
        </w:tc>
        <w:tc>
          <w:tcPr>
            <w:tcW w:w="442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THREE MONTHS ENDED DECEMBER 31,</w:t>
            </w:r>
          </w:p>
        </w:tc>
        <w:tc>
          <w:tcPr>
            <w:tcW w:w="1280" w:type="dxa"/>
            <w:vAlign w:val="bottom"/>
          </w:tcPr>
          <w:p>
            <w:pPr>
              <w:ind w:left="440"/>
              <w:spacing w:after="0"/>
              <w:rPr>
                <w:sz w:val="20"/>
                <w:szCs w:val="20"/>
                <w:color w:val="auto"/>
              </w:rPr>
            </w:pPr>
            <w:r>
              <w:rPr>
                <w:rFonts w:ascii="Courier New" w:cs="Courier New" w:eastAsia="Courier New" w:hAnsi="Courier New"/>
                <w:sz w:val="18"/>
                <w:szCs w:val="18"/>
                <w:color w:val="auto"/>
              </w:rPr>
              <w:t>PERCENT</w:t>
            </w:r>
          </w:p>
        </w:tc>
      </w:tr>
      <w:tr>
        <w:trPr>
          <w:trHeight w:val="203"/>
        </w:trPr>
        <w:tc>
          <w:tcPr>
            <w:tcW w:w="2320" w:type="dxa"/>
            <w:vAlign w:val="bottom"/>
          </w:tcPr>
          <w:p>
            <w:pPr>
              <w:spacing w:after="0"/>
              <w:rPr>
                <w:sz w:val="17"/>
                <w:szCs w:val="17"/>
                <w:color w:val="auto"/>
              </w:rPr>
            </w:pPr>
          </w:p>
        </w:tc>
        <w:tc>
          <w:tcPr>
            <w:tcW w:w="22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1995</w:t>
            </w:r>
          </w:p>
        </w:tc>
        <w:tc>
          <w:tcPr>
            <w:tcW w:w="22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1994</w:t>
            </w:r>
          </w:p>
        </w:tc>
        <w:tc>
          <w:tcPr>
            <w:tcW w:w="1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4"/>
              </w:rPr>
              <w:t>INCREASE</w:t>
            </w:r>
          </w:p>
        </w:tc>
      </w:tr>
      <w:tr>
        <w:trPr>
          <w:trHeight w:val="203"/>
        </w:trPr>
        <w:tc>
          <w:tcPr>
            <w:tcW w:w="2320" w:type="dxa"/>
            <w:vAlign w:val="bottom"/>
          </w:tcPr>
          <w:p>
            <w:pPr>
              <w:spacing w:after="0"/>
              <w:rPr>
                <w:sz w:val="17"/>
                <w:szCs w:val="17"/>
                <w:color w:val="auto"/>
              </w:rPr>
            </w:pP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Aviation Fueling</w:t>
            </w:r>
          </w:p>
        </w:tc>
        <w:tc>
          <w:tcPr>
            <w:tcW w:w="22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$3,425,000</w:t>
            </w:r>
          </w:p>
        </w:tc>
        <w:tc>
          <w:tcPr>
            <w:tcW w:w="22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$2,821,000</w:t>
            </w:r>
          </w:p>
        </w:tc>
        <w:tc>
          <w:tcPr>
            <w:tcW w:w="1280" w:type="dxa"/>
            <w:vAlign w:val="bottom"/>
          </w:tcPr>
          <w:p>
            <w:pPr>
              <w:ind w:left="640"/>
              <w:spacing w:after="0"/>
              <w:rPr>
                <w:sz w:val="20"/>
                <w:szCs w:val="20"/>
                <w:color w:val="auto"/>
              </w:rPr>
            </w:pPr>
            <w:r>
              <w:rPr>
                <w:rFonts w:ascii="Courier New" w:cs="Courier New" w:eastAsia="Courier New" w:hAnsi="Courier New"/>
                <w:sz w:val="18"/>
                <w:szCs w:val="18"/>
                <w:color w:val="auto"/>
              </w:rPr>
              <w:t>21.4%</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Marine Fueling</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879,000</w:t>
            </w:r>
          </w:p>
        </w:tc>
        <w:tc>
          <w:tcPr>
            <w:tcW w:w="22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Oil Recycling</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1,227,000</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821,000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49.5</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Corporate Overhead</w:t>
            </w:r>
          </w:p>
        </w:tc>
        <w:tc>
          <w:tcPr>
            <w:tcW w:w="2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(1,495,000)</w:t>
            </w:r>
          </w:p>
        </w:tc>
        <w:tc>
          <w:tcPr>
            <w:tcW w:w="2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(1,031,000)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45.0</w:t>
            </w:r>
          </w:p>
        </w:tc>
      </w:tr>
      <w:tr>
        <w:trPr>
          <w:trHeight w:val="203"/>
        </w:trPr>
        <w:tc>
          <w:tcPr>
            <w:tcW w:w="2320" w:type="dxa"/>
            <w:vAlign w:val="bottom"/>
          </w:tcPr>
          <w:p>
            <w:pPr>
              <w:spacing w:after="0"/>
              <w:rPr>
                <w:sz w:val="17"/>
                <w:szCs w:val="17"/>
                <w:color w:val="auto"/>
              </w:rPr>
            </w:pP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spacing w:after="0"/>
              <w:rPr>
                <w:sz w:val="17"/>
                <w:szCs w:val="17"/>
                <w:color w:val="auto"/>
              </w:rPr>
            </w:pP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Income From</w:t>
            </w:r>
          </w:p>
        </w:tc>
        <w:tc>
          <w:tcPr>
            <w:tcW w:w="22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2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Operations</w:t>
            </w: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$4,036,000</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$2,611,000</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54.6%</w:t>
            </w:r>
          </w:p>
        </w:tc>
      </w:tr>
      <w:tr>
        <w:trPr>
          <w:trHeight w:val="203"/>
        </w:trPr>
        <w:tc>
          <w:tcPr>
            <w:tcW w:w="2320" w:type="dxa"/>
            <w:vAlign w:val="bottom"/>
          </w:tcPr>
          <w:p>
            <w:pPr>
              <w:spacing w:after="0"/>
              <w:rPr>
                <w:sz w:val="17"/>
                <w:szCs w:val="17"/>
                <w:color w:val="auto"/>
              </w:rPr>
            </w:pPr>
          </w:p>
        </w:tc>
        <w:tc>
          <w:tcPr>
            <w:tcW w:w="22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2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 Percent not meaningful.</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Income from operations of the aviation fueling segment increased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$604,000, or 21.4%, for the three months ended December 31, 1995, as compared to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three months ended December 31, 1994. This improvement resulted primarily</w:t>
      </w:r>
    </w:p>
    <w:p>
      <w:pPr>
        <w:spacing w:after="0" w:line="238" w:lineRule="auto"/>
        <w:rPr>
          <w:sz w:val="20"/>
          <w:szCs w:val="20"/>
          <w:color w:val="auto"/>
        </w:rPr>
      </w:pPr>
      <w:r>
        <w:rPr>
          <w:rFonts w:ascii="Courier New" w:cs="Courier New" w:eastAsia="Courier New" w:hAnsi="Courier New"/>
          <w:sz w:val="18"/>
          <w:szCs w:val="18"/>
          <w:color w:val="auto"/>
        </w:rPr>
        <w:t>from a higher average gross profit per gallon sold. The marine fueling segment</w:t>
      </w:r>
    </w:p>
    <w:p>
      <w:pPr>
        <w:spacing w:after="0"/>
        <w:rPr>
          <w:sz w:val="20"/>
          <w:szCs w:val="20"/>
          <w:color w:val="auto"/>
        </w:rPr>
      </w:pPr>
      <w:r>
        <w:rPr>
          <w:rFonts w:ascii="Courier New" w:cs="Courier New" w:eastAsia="Courier New" w:hAnsi="Courier New"/>
          <w:sz w:val="18"/>
          <w:szCs w:val="18"/>
          <w:color w:val="auto"/>
        </w:rPr>
        <w:t>earned $879,000 in income from operations for the three months ended December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31, 1995. The gross profit of this segment was $3,598,000, reduced by $2,719,000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operating expenses. Income from operations of the oil recycling segment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increased by $406,000 for the three months ended December 31, 1995, as compared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same period last year. This increase was due to higher sales volume,</w:t>
      </w:r>
    </w:p>
    <w:p>
      <w:pPr>
        <w:spacing w:after="0" w:line="238" w:lineRule="auto"/>
        <w:rPr>
          <w:sz w:val="20"/>
          <w:szCs w:val="20"/>
          <w:color w:val="auto"/>
        </w:rPr>
      </w:pPr>
      <w:r>
        <w:rPr>
          <w:rFonts w:ascii="Courier New" w:cs="Courier New" w:eastAsia="Courier New" w:hAnsi="Courier New"/>
          <w:sz w:val="18"/>
          <w:szCs w:val="18"/>
          <w:color w:val="auto"/>
        </w:rPr>
        <w:t>higher used oil and waste water collection revenues, and lower operating</w:t>
      </w:r>
    </w:p>
    <w:p>
      <w:pPr>
        <w:spacing w:after="0"/>
        <w:rPr>
          <w:sz w:val="20"/>
          <w:szCs w:val="20"/>
          <w:color w:val="auto"/>
        </w:rPr>
      </w:pPr>
      <w:r>
        <w:rPr>
          <w:rFonts w:ascii="Courier New" w:cs="Courier New" w:eastAsia="Courier New" w:hAnsi="Courier New"/>
          <w:sz w:val="18"/>
          <w:szCs w:val="18"/>
          <w:color w:val="auto"/>
        </w:rPr>
        <w:t>expenses.</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16 of 20</w:t>
      </w:r>
    </w:p>
    <w:p>
      <w:pPr>
        <w:sectPr>
          <w:pgSz w:w="11900" w:h="16838" w:orient="portrait"/>
          <w:cols w:equalWidth="0" w:num="1">
            <w:col w:w="10219"/>
          </w:cols>
          <w:pgMar w:left="240" w:top="723" w:right="1440" w:bottom="1440" w:gutter="0" w:footer="0" w:header="0"/>
        </w:sectPr>
      </w:pPr>
    </w:p>
    <w:bookmarkStart w:id="15" w:name="page16"/>
    <w:bookmarkEnd w:id="15"/>
    <w:p>
      <w:pPr>
        <w:ind w:left="960"/>
        <w:spacing w:after="0"/>
        <w:rPr>
          <w:sz w:val="20"/>
          <w:szCs w:val="20"/>
          <w:color w:val="auto"/>
        </w:rPr>
      </w:pPr>
      <w:r>
        <w:rPr>
          <w:rFonts w:ascii="Courier New" w:cs="Courier New" w:eastAsia="Courier New" w:hAnsi="Courier New"/>
          <w:sz w:val="16"/>
          <w:szCs w:val="16"/>
          <w:color w:val="auto"/>
        </w:rPr>
        <w:t>Corporate overhead costs not charged to the business segments totalled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$1,495,000 for the three months ended December 31, 1995, an increase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$464,000, or 45.0%, as compared to the same period last year. This increase was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due primarily to higher salaries and payroll related costs. In relation to</w:t>
      </w:r>
    </w:p>
    <w:p>
      <w:pPr>
        <w:spacing w:after="0" w:line="238" w:lineRule="auto"/>
        <w:rPr>
          <w:sz w:val="20"/>
          <w:szCs w:val="20"/>
          <w:color w:val="auto"/>
        </w:rPr>
      </w:pPr>
      <w:r>
        <w:rPr>
          <w:rFonts w:ascii="Courier New" w:cs="Courier New" w:eastAsia="Courier New" w:hAnsi="Courier New"/>
          <w:sz w:val="18"/>
          <w:szCs w:val="18"/>
          <w:color w:val="auto"/>
        </w:rPr>
        <w:t>revenue, total corporate overhead decreased to 0.9% for the three months ended</w:t>
      </w:r>
    </w:p>
    <w:p>
      <w:pPr>
        <w:spacing w:after="0"/>
        <w:rPr>
          <w:sz w:val="20"/>
          <w:szCs w:val="20"/>
          <w:color w:val="auto"/>
        </w:rPr>
      </w:pPr>
      <w:r>
        <w:rPr>
          <w:rFonts w:ascii="Courier New" w:cs="Courier New" w:eastAsia="Courier New" w:hAnsi="Courier New"/>
          <w:sz w:val="18"/>
          <w:szCs w:val="18"/>
          <w:color w:val="auto"/>
        </w:rPr>
        <w:t>December 31, 1995, as compared to 1.3% for the same period a year prior.</w:t>
      </w:r>
    </w:p>
    <w:p>
      <w:pPr>
        <w:spacing w:after="0" w:line="206"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For the three months ended December 31, 1995, the Company had net other income of $455,000, a decrease of $179,000 over the same period a year ago. This decrease was due primarily to a decline in the foreign exchange gains in the third quarter of fiscal year 1995, as compared to the same period last year.</w:t>
      </w:r>
    </w:p>
    <w:p>
      <w:pPr>
        <w:spacing w:after="0" w:line="182"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Net income for the three months ended December 31, 1995 was $2,861,000, an increase of $807,000, as compared to net income for the three months ended December 31, 1994. Earnings per share of $.35 for the three months ended December 31, 1995 exhibited a $.07, or 25% increase over the $.28 achieved during the same period last year.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Cash and cash equivalents amounted to $15,077,000 at December 31, 1995,</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compared to $10,907,000 at March 31, 1995. The principal sources of cash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equivalents during the first nine months of fiscal year 1996 were</w:t>
      </w:r>
    </w:p>
    <w:p>
      <w:pPr>
        <w:spacing w:after="0" w:line="238" w:lineRule="auto"/>
        <w:rPr>
          <w:sz w:val="20"/>
          <w:szCs w:val="20"/>
          <w:color w:val="auto"/>
        </w:rPr>
      </w:pPr>
      <w:r>
        <w:rPr>
          <w:rFonts w:ascii="Courier New" w:cs="Courier New" w:eastAsia="Courier New" w:hAnsi="Courier New"/>
          <w:sz w:val="18"/>
          <w:szCs w:val="18"/>
          <w:color w:val="auto"/>
        </w:rPr>
        <w:t>$1,940,000 from collections on notes receivable, $338,000 in repayments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advances from the aviation joint venture, $325,000 from proceeds on the sale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assets, $2,000,000 in net borrowings under the revolving line of credit,</w:t>
      </w:r>
    </w:p>
    <w:p>
      <w:pPr>
        <w:spacing w:after="0" w:line="238" w:lineRule="auto"/>
        <w:rPr>
          <w:sz w:val="20"/>
          <w:szCs w:val="20"/>
          <w:color w:val="auto"/>
        </w:rPr>
      </w:pPr>
      <w:r>
        <w:rPr>
          <w:rFonts w:ascii="Courier New" w:cs="Courier New" w:eastAsia="Courier New" w:hAnsi="Courier New"/>
          <w:sz w:val="18"/>
          <w:szCs w:val="18"/>
          <w:color w:val="auto"/>
        </w:rPr>
        <w:t>$863,000 in proceeds from the issuance of common stock in connection with the</w:t>
      </w:r>
    </w:p>
    <w:p>
      <w:pPr>
        <w:spacing w:after="0"/>
        <w:rPr>
          <w:sz w:val="20"/>
          <w:szCs w:val="20"/>
          <w:color w:val="auto"/>
        </w:rPr>
      </w:pPr>
      <w:r>
        <w:rPr>
          <w:rFonts w:ascii="Courier New" w:cs="Courier New" w:eastAsia="Courier New" w:hAnsi="Courier New"/>
          <w:sz w:val="18"/>
          <w:szCs w:val="18"/>
          <w:color w:val="auto"/>
        </w:rPr>
        <w:t>exercise of options and $707,000 in net cash provided by operating activities.</w:t>
      </w:r>
    </w:p>
    <w:p>
      <w:pPr>
        <w:spacing w:after="0" w:line="237" w:lineRule="auto"/>
        <w:rPr>
          <w:sz w:val="20"/>
          <w:szCs w:val="20"/>
          <w:color w:val="auto"/>
        </w:rPr>
      </w:pPr>
      <w:r>
        <w:rPr>
          <w:rFonts w:ascii="Courier New" w:cs="Courier New" w:eastAsia="Courier New" w:hAnsi="Courier New"/>
          <w:sz w:val="18"/>
          <w:szCs w:val="18"/>
          <w:color w:val="auto"/>
        </w:rPr>
        <w:t>Partially offsetting the increase in cash and cash equivalents was $1,062,000</w:t>
      </w:r>
    </w:p>
    <w:p>
      <w:pPr>
        <w:spacing w:after="0" w:line="238" w:lineRule="auto"/>
        <w:rPr>
          <w:sz w:val="20"/>
          <w:szCs w:val="20"/>
          <w:color w:val="auto"/>
        </w:rPr>
      </w:pPr>
      <w:r>
        <w:rPr>
          <w:rFonts w:ascii="Courier New" w:cs="Courier New" w:eastAsia="Courier New" w:hAnsi="Courier New"/>
          <w:sz w:val="18"/>
          <w:szCs w:val="18"/>
          <w:color w:val="auto"/>
        </w:rPr>
        <w:t>used for the purchase and construction of plant, equipment and other capital</w:t>
      </w:r>
    </w:p>
    <w:p>
      <w:pPr>
        <w:spacing w:after="0"/>
        <w:rPr>
          <w:sz w:val="20"/>
          <w:szCs w:val="20"/>
          <w:color w:val="auto"/>
        </w:rPr>
      </w:pPr>
      <w:r>
        <w:rPr>
          <w:rFonts w:ascii="Courier New" w:cs="Courier New" w:eastAsia="Courier New" w:hAnsi="Courier New"/>
          <w:sz w:val="18"/>
          <w:szCs w:val="18"/>
          <w:color w:val="auto"/>
        </w:rPr>
        <w:t>expenditures and $660,000 in dividends paid on common stock. Other components</w:t>
      </w:r>
    </w:p>
    <w:p>
      <w:pPr>
        <w:spacing w:after="0" w:line="237" w:lineRule="auto"/>
        <w:rPr>
          <w:sz w:val="20"/>
          <w:szCs w:val="20"/>
          <w:color w:val="auto"/>
        </w:rPr>
      </w:pPr>
      <w:r>
        <w:rPr>
          <w:rFonts w:ascii="Courier New" w:cs="Courier New" w:eastAsia="Courier New" w:hAnsi="Courier New"/>
          <w:sz w:val="18"/>
          <w:szCs w:val="18"/>
          <w:color w:val="auto"/>
        </w:rPr>
        <w:t>of changes in cash and cash equivalents are detailed in the Consolidated</w:t>
      </w:r>
    </w:p>
    <w:p>
      <w:pPr>
        <w:spacing w:after="0"/>
        <w:rPr>
          <w:sz w:val="20"/>
          <w:szCs w:val="20"/>
          <w:color w:val="auto"/>
        </w:rPr>
      </w:pPr>
      <w:r>
        <w:rPr>
          <w:rFonts w:ascii="Courier New" w:cs="Courier New" w:eastAsia="Courier New" w:hAnsi="Courier New"/>
          <w:sz w:val="18"/>
          <w:szCs w:val="18"/>
          <w:color w:val="auto"/>
        </w:rPr>
        <w:t>Statements of Cash Flows.</w:t>
      </w:r>
    </w:p>
    <w:p>
      <w:pPr>
        <w:spacing w:after="0" w:line="206"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Working capital as of December 31, 1995 was $39,730,000, exhibiting a $12,210,000 increase from working capital as of March 31, 1995. As of December 31, 1995, the Company's accounts receivable, excluding the allowance for bad debts, amounted to $67,760,000, an increase of $24,394,000, as compared to the March 31, 1995 balance. In the aggregate, accounts payable, accrued expenses and customer deposits increased $15,243,000. The increase in net trade receivables of $9,151,000 was attributed to the marine and aviation segments. The allowance for bad debts as of December 31, 1995 amounted to $4,953,000, an increase of $387,000 when compared to the March 31, 1995 balance. During the first nine months of fiscal year 1996, the Company charged $1,185,000 to the provision for bad debts and had charge-offs in excess of recoveries of $798,000.</w:t>
      </w:r>
    </w:p>
    <w:p>
      <w:pPr>
        <w:spacing w:after="0" w:line="18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17 of 20</w:t>
      </w:r>
    </w:p>
    <w:p>
      <w:pPr>
        <w:sectPr>
          <w:pgSz w:w="11900" w:h="16838" w:orient="portrait"/>
          <w:cols w:equalWidth="0" w:num="1">
            <w:col w:w="10219"/>
          </w:cols>
          <w:pgMar w:left="240" w:top="723" w:right="1440" w:bottom="1440" w:gutter="0" w:footer="0" w:header="0"/>
        </w:sectPr>
      </w:pPr>
    </w:p>
    <w:bookmarkStart w:id="16" w:name="page17"/>
    <w:bookmarkEnd w:id="16"/>
    <w:p>
      <w:pPr>
        <w:ind w:left="960"/>
        <w:spacing w:after="0"/>
        <w:rPr>
          <w:sz w:val="20"/>
          <w:szCs w:val="20"/>
          <w:color w:val="auto"/>
        </w:rPr>
      </w:pPr>
      <w:r>
        <w:rPr>
          <w:rFonts w:ascii="Courier New" w:cs="Courier New" w:eastAsia="Courier New" w:hAnsi="Courier New"/>
          <w:sz w:val="18"/>
          <w:szCs w:val="18"/>
          <w:color w:val="auto"/>
        </w:rPr>
        <w:t>Capital expenditures, which amounted to $1,062,000 for the first nine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months of fiscal year 1996, consisted primarily of $510,000 in office equipment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furniture, $288,000 in delivery equipment as well as $206,000 in plant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construction costs. Effective June 1, 1995, the Company sold property, plant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equipment, with a net book value of $1,294,000, of its Georgia oil recycling</w:t>
      </w:r>
    </w:p>
    <w:p>
      <w:pPr>
        <w:spacing w:after="0" w:line="238" w:lineRule="auto"/>
        <w:rPr>
          <w:sz w:val="20"/>
          <w:szCs w:val="20"/>
          <w:color w:val="auto"/>
        </w:rPr>
      </w:pPr>
      <w:r>
        <w:rPr>
          <w:rFonts w:ascii="Courier New" w:cs="Courier New" w:eastAsia="Courier New" w:hAnsi="Courier New"/>
          <w:sz w:val="18"/>
          <w:szCs w:val="18"/>
          <w:color w:val="auto"/>
        </w:rPr>
        <w:t>operations. During the balance of fiscal year 1996, the Company anticipates</w:t>
      </w:r>
    </w:p>
    <w:p>
      <w:pPr>
        <w:spacing w:after="0"/>
        <w:rPr>
          <w:sz w:val="20"/>
          <w:szCs w:val="20"/>
          <w:color w:val="auto"/>
        </w:rPr>
      </w:pPr>
      <w:r>
        <w:rPr>
          <w:rFonts w:ascii="Courier New" w:cs="Courier New" w:eastAsia="Courier New" w:hAnsi="Courier New"/>
          <w:sz w:val="18"/>
          <w:szCs w:val="18"/>
          <w:color w:val="auto"/>
        </w:rPr>
        <w:t>spending approximately $200,000 to upgrade plant, machinery and equipment. The</w:t>
      </w:r>
    </w:p>
    <w:p>
      <w:pPr>
        <w:spacing w:after="0" w:line="237" w:lineRule="auto"/>
        <w:rPr>
          <w:sz w:val="20"/>
          <w:szCs w:val="20"/>
          <w:color w:val="auto"/>
        </w:rPr>
      </w:pPr>
      <w:r>
        <w:rPr>
          <w:rFonts w:ascii="Courier New" w:cs="Courier New" w:eastAsia="Courier New" w:hAnsi="Courier New"/>
          <w:sz w:val="18"/>
          <w:szCs w:val="18"/>
          <w:color w:val="auto"/>
        </w:rPr>
        <w:t>Company also anticipates committing approximately $800,000 to upgrade the</w:t>
      </w:r>
    </w:p>
    <w:p>
      <w:pPr>
        <w:spacing w:after="0" w:line="238" w:lineRule="auto"/>
        <w:rPr>
          <w:sz w:val="20"/>
          <w:szCs w:val="20"/>
          <w:color w:val="auto"/>
        </w:rPr>
      </w:pPr>
      <w:r>
        <w:rPr>
          <w:rFonts w:ascii="Courier New" w:cs="Courier New" w:eastAsia="Courier New" w:hAnsi="Courier New"/>
          <w:sz w:val="18"/>
          <w:szCs w:val="18"/>
          <w:color w:val="auto"/>
        </w:rPr>
        <w:t>storage tank facilities of its Louisiana oil recycling plant, with an</w:t>
      </w:r>
    </w:p>
    <w:p>
      <w:pPr>
        <w:spacing w:after="0"/>
        <w:rPr>
          <w:sz w:val="20"/>
          <w:szCs w:val="20"/>
          <w:color w:val="auto"/>
        </w:rPr>
      </w:pPr>
      <w:r>
        <w:rPr>
          <w:rFonts w:ascii="Courier New" w:cs="Courier New" w:eastAsia="Courier New" w:hAnsi="Courier New"/>
          <w:sz w:val="18"/>
          <w:szCs w:val="18"/>
          <w:color w:val="auto"/>
        </w:rPr>
        <w:t>anticipated completion date in the second half of fiscal year 1997.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also anticipates spending an estimated $1,000,000 over the next several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years to clean up contamination which was present at one of the Company's sites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when it was acquired by the Company. Clean up will be capitalized as part of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of the site, up to the fair market value of the site.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Accrued salaries and wages increased $1,125,000, principally as the result of sales and management performance bonuses.</w:t>
      </w:r>
    </w:p>
    <w:p>
      <w:pPr>
        <w:spacing w:after="0" w:line="208" w:lineRule="exact"/>
        <w:rPr>
          <w:sz w:val="20"/>
          <w:szCs w:val="20"/>
          <w:color w:val="auto"/>
        </w:rPr>
      </w:pPr>
    </w:p>
    <w:p>
      <w:pPr>
        <w:ind w:right="1779" w:firstLine="948"/>
        <w:spacing w:after="0" w:line="271" w:lineRule="auto"/>
        <w:rPr>
          <w:sz w:val="20"/>
          <w:szCs w:val="20"/>
          <w:color w:val="auto"/>
        </w:rPr>
      </w:pPr>
      <w:r>
        <w:rPr>
          <w:rFonts w:ascii="Courier New" w:cs="Courier New" w:eastAsia="Courier New" w:hAnsi="Courier New"/>
          <w:sz w:val="16"/>
          <w:szCs w:val="16"/>
          <w:color w:val="auto"/>
        </w:rPr>
        <w:t>Long-term liabilities as of December 31, 1995, were $7,644,000, exhibiting an increase of $660,000 as compared to March 31, 1995. This increase was the result of net borrowings of $2,000,000 under the Company's revolving line of credit. Partially offsetting was the $1,300,000 payment in settlement of the shareholders' class action litigation, through the issuance of common stock. Stockholders' equity amounted to $61,268,000, or $7.62 per share, at December 31, 1995 compared to $52,066,000, or $6.67 per share, at March 31, 1995.</w:t>
      </w:r>
    </w:p>
    <w:p>
      <w:pPr>
        <w:spacing w:after="0" w:line="18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Company's working capital requirements are not expected to vary substantially for the balance of fiscal year 1996. The Company expects to meet its cash requirements for the balance of fiscal year 1996 from existing cash, operations, and additional borrowings, as necessary, under its existing line of credit. The Company's business has not been significantly affected by inflation during the periods discussed in this report.</w:t>
      </w: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18 of 20</w:t>
      </w:r>
    </w:p>
    <w:p>
      <w:pPr>
        <w:sectPr>
          <w:pgSz w:w="11900" w:h="16838" w:orient="portrait"/>
          <w:cols w:equalWidth="0" w:num="1">
            <w:col w:w="10219"/>
          </w:cols>
          <w:pgMar w:left="240" w:top="717" w:right="1440" w:bottom="1440" w:gutter="0" w:footer="0" w:header="0"/>
        </w:sectPr>
      </w:pPr>
    </w:p>
    <w:bookmarkStart w:id="17" w:name="page18"/>
    <w:bookmarkEnd w:id="17"/>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left="1900" w:right="1999"/>
        <w:spacing w:after="0" w:line="235" w:lineRule="auto"/>
        <w:rPr>
          <w:sz w:val="20"/>
          <w:szCs w:val="20"/>
          <w:color w:val="auto"/>
        </w:rPr>
      </w:pPr>
      <w:r>
        <w:rPr>
          <w:rFonts w:ascii="Courier New" w:cs="Courier New" w:eastAsia="Courier New" w:hAnsi="Courier New"/>
          <w:sz w:val="18"/>
          <w:szCs w:val="18"/>
          <w:color w:val="auto"/>
        </w:rPr>
        <w:t>There are no material legal proceedings to which the Company or any of its subsidiaries is a party.</w:t>
      </w:r>
    </w:p>
    <w:p>
      <w:pPr>
        <w:spacing w:after="0" w:line="20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CHANGES IN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DEFAULTS UPON SENIOR SECURITIES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2860" w:right="2319" w:hanging="956"/>
        <w:spacing w:after="0" w:line="236" w:lineRule="auto"/>
        <w:tabs>
          <w:tab w:leader="none" w:pos="2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three months ended December 31, 1995, the Company did not file any reports on Form 8-K.</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19 of 20</w:t>
      </w:r>
    </w:p>
    <w:p>
      <w:pPr>
        <w:sectPr>
          <w:pgSz w:w="11900" w:h="16838" w:orient="portrait"/>
          <w:cols w:equalWidth="0" w:num="1">
            <w:col w:w="10219"/>
          </w:cols>
          <w:pgMar w:left="240" w:top="717" w:right="1440" w:bottom="1440" w:gutter="0" w:footer="0" w:header="0"/>
        </w:sectPr>
      </w:pPr>
    </w:p>
    <w:bookmarkStart w:id="18" w:name="page19"/>
    <w:bookmarkEnd w:id="18"/>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JANUARY 30, 1996</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WORLD FUEL SERVICES CORPORATION</w:t>
      </w:r>
    </w:p>
    <w:p>
      <w:pPr>
        <w:spacing w:after="0" w:line="200" w:lineRule="exact"/>
        <w:rPr>
          <w:sz w:val="20"/>
          <w:szCs w:val="20"/>
          <w:color w:val="auto"/>
        </w:rPr>
      </w:pPr>
    </w:p>
    <w:p>
      <w:pPr>
        <w:sectPr>
          <w:pgSz w:w="11900" w:h="16838" w:orient="portrait"/>
          <w:cols w:equalWidth="0" w:num="2">
            <w:col w:w="4440" w:space="720"/>
            <w:col w:w="5059"/>
          </w:cols>
          <w:pgMar w:left="240" w:top="717" w:right="1440" w:bottom="1440" w:gutter="0" w:footer="0" w:header="0"/>
          <w:type w:val="continuous"/>
        </w:sectPr>
      </w:pPr>
    </w:p>
    <w:p>
      <w:pPr>
        <w:spacing w:after="0" w:line="18"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JERROLD BLAIR</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JERROLD BLAIR</w:t>
      </w:r>
    </w:p>
    <w:p>
      <w:pPr>
        <w:ind w:left="516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CARLOS A. ABAUNZA</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CARLOS A. ABAUNZA</w:t>
      </w:r>
    </w:p>
    <w:p>
      <w:pPr>
        <w:ind w:left="516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20 of 20</w:t>
      </w:r>
    </w:p>
    <w:p>
      <w:pPr>
        <w:sectPr>
          <w:pgSz w:w="11900" w:h="16838" w:orient="portrait"/>
          <w:cols w:equalWidth="0" w:num="1">
            <w:col w:w="10219"/>
          </w:cols>
          <w:pgMar w:left="240" w:top="717" w:right="1440" w:bottom="1440" w:gutter="0" w:footer="0" w:header="0"/>
          <w:type w:val="continuous"/>
        </w:sectPr>
      </w:pPr>
    </w:p>
    <w:bookmarkStart w:id="19" w:name="page20"/>
    <w:bookmarkEnd w:id="19"/>
    <w:p>
      <w:pPr>
        <w:ind w:left="8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jc w:val="both"/>
        <w:ind w:right="2699"/>
        <w:spacing w:after="0" w:line="236" w:lineRule="auto"/>
        <w:rPr>
          <w:sz w:val="20"/>
          <w:szCs w:val="20"/>
          <w:color w:val="auto"/>
        </w:rPr>
      </w:pPr>
      <w:r>
        <w:rPr>
          <w:rFonts w:ascii="Courier New" w:cs="Courier New" w:eastAsia="Courier New" w:hAnsi="Courier New"/>
          <w:sz w:val="18"/>
          <w:szCs w:val="18"/>
          <w:color w:val="auto"/>
        </w:rPr>
        <w:t>THIS SCHEDULE CONTAINS SUMMARY FINANCIAL INFORMATION EXTRACTED FROM ITS DECEMBER 31, 1995 10-Q AND IS QUALIFIED IN ITS ENTIRETY BY REFERENCE TO SUCH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9-MOS</w:t>
      </w:r>
    </w:p>
    <w:p>
      <w:pPr>
        <w:ind w:left="2700"/>
        <w:spacing w:after="0" w:line="238" w:lineRule="auto"/>
        <w:rPr>
          <w:sz w:val="20"/>
          <w:szCs w:val="20"/>
          <w:color w:val="auto"/>
        </w:rPr>
      </w:pPr>
      <w:r>
        <w:rPr>
          <w:rFonts w:ascii="Courier New" w:cs="Courier New" w:eastAsia="Courier New" w:hAnsi="Courier New"/>
          <w:sz w:val="18"/>
          <w:szCs w:val="18"/>
          <w:color w:val="auto"/>
        </w:rPr>
        <w:t>MAR-31-1996</w:t>
      </w:r>
    </w:p>
    <w:p>
      <w:pPr>
        <w:ind w:left="3020"/>
        <w:spacing w:after="0"/>
        <w:rPr>
          <w:sz w:val="20"/>
          <w:szCs w:val="20"/>
          <w:color w:val="auto"/>
        </w:rPr>
      </w:pPr>
      <w:r>
        <w:rPr>
          <w:rFonts w:ascii="Courier New" w:cs="Courier New" w:eastAsia="Courier New" w:hAnsi="Courier New"/>
          <w:sz w:val="18"/>
          <w:szCs w:val="18"/>
          <w:color w:val="auto"/>
        </w:rPr>
        <w:t>APR-01-1995</w:t>
      </w:r>
    </w:p>
    <w:p>
      <w:pPr>
        <w:ind w:left="3240"/>
        <w:spacing w:after="0" w:line="237" w:lineRule="auto"/>
        <w:rPr>
          <w:sz w:val="20"/>
          <w:szCs w:val="20"/>
          <w:color w:val="auto"/>
        </w:rPr>
      </w:pPr>
      <w:r>
        <w:rPr>
          <w:rFonts w:ascii="Courier New" w:cs="Courier New" w:eastAsia="Courier New" w:hAnsi="Courier New"/>
          <w:sz w:val="18"/>
          <w:szCs w:val="18"/>
          <w:color w:val="auto"/>
        </w:rPr>
        <w:t>DEC-31-1995</w:t>
      </w:r>
    </w:p>
    <w:p>
      <w:pPr>
        <w:ind w:left="3980"/>
        <w:spacing w:after="0" w:line="238" w:lineRule="auto"/>
        <w:rPr>
          <w:sz w:val="20"/>
          <w:szCs w:val="20"/>
          <w:color w:val="auto"/>
        </w:rPr>
      </w:pPr>
      <w:r>
        <w:rPr>
          <w:rFonts w:ascii="Courier New" w:cs="Courier New" w:eastAsia="Courier New" w:hAnsi="Courier New"/>
          <w:sz w:val="18"/>
          <w:szCs w:val="18"/>
          <w:color w:val="auto"/>
        </w:rPr>
        <w:t>15,077,000</w:t>
      </w:r>
    </w:p>
    <w:p>
      <w:pPr>
        <w:ind w:left="4280"/>
        <w:spacing w:after="0"/>
        <w:rPr>
          <w:sz w:val="20"/>
          <w:szCs w:val="20"/>
          <w:color w:val="auto"/>
        </w:rPr>
      </w:pPr>
      <w:r>
        <w:rPr>
          <w:rFonts w:ascii="Courier New" w:cs="Courier New" w:eastAsia="Courier New" w:hAnsi="Courier New"/>
          <w:sz w:val="18"/>
          <w:szCs w:val="18"/>
          <w:color w:val="auto"/>
        </w:rPr>
        <w:t>0</w:t>
      </w:r>
    </w:p>
    <w:p>
      <w:pPr>
        <w:ind w:left="3240"/>
        <w:spacing w:after="0" w:line="237" w:lineRule="auto"/>
        <w:rPr>
          <w:sz w:val="20"/>
          <w:szCs w:val="20"/>
          <w:color w:val="auto"/>
        </w:rPr>
      </w:pPr>
      <w:r>
        <w:rPr>
          <w:rFonts w:ascii="Courier New" w:cs="Courier New" w:eastAsia="Courier New" w:hAnsi="Courier New"/>
          <w:sz w:val="18"/>
          <w:szCs w:val="18"/>
          <w:color w:val="auto"/>
        </w:rPr>
        <w:t>62,807,000</w:t>
      </w:r>
    </w:p>
    <w:p>
      <w:pPr>
        <w:ind w:left="3440"/>
        <w:spacing w:after="0"/>
        <w:rPr>
          <w:sz w:val="20"/>
          <w:szCs w:val="20"/>
          <w:color w:val="auto"/>
        </w:rPr>
      </w:pPr>
      <w:r>
        <w:rPr>
          <w:rFonts w:ascii="Courier New" w:cs="Courier New" w:eastAsia="Courier New" w:hAnsi="Courier New"/>
          <w:sz w:val="18"/>
          <w:szCs w:val="18"/>
          <w:color w:val="auto"/>
        </w:rPr>
        <w:t>4,953,000</w:t>
      </w:r>
    </w:p>
    <w:p>
      <w:pPr>
        <w:ind w:left="3540"/>
        <w:spacing w:after="0" w:line="237" w:lineRule="auto"/>
        <w:rPr>
          <w:sz w:val="20"/>
          <w:szCs w:val="20"/>
          <w:color w:val="auto"/>
        </w:rPr>
      </w:pPr>
      <w:r>
        <w:rPr>
          <w:rFonts w:ascii="Courier New" w:cs="Courier New" w:eastAsia="Courier New" w:hAnsi="Courier New"/>
          <w:sz w:val="18"/>
          <w:szCs w:val="18"/>
          <w:color w:val="auto"/>
        </w:rPr>
        <w:t>4,394,000</w:t>
      </w:r>
    </w:p>
    <w:p>
      <w:pPr>
        <w:ind w:left="2920"/>
        <w:spacing w:after="0"/>
        <w:rPr>
          <w:sz w:val="20"/>
          <w:szCs w:val="20"/>
          <w:color w:val="auto"/>
        </w:rPr>
      </w:pPr>
      <w:r>
        <w:rPr>
          <w:rFonts w:ascii="Courier New" w:cs="Courier New" w:eastAsia="Courier New" w:hAnsi="Courier New"/>
          <w:sz w:val="18"/>
          <w:szCs w:val="18"/>
          <w:color w:val="auto"/>
        </w:rPr>
        <w:t>85,627,000</w:t>
      </w:r>
    </w:p>
    <w:p>
      <w:pPr>
        <w:ind w:left="3980"/>
        <w:spacing w:after="0" w:line="237" w:lineRule="auto"/>
        <w:rPr>
          <w:sz w:val="20"/>
          <w:szCs w:val="20"/>
          <w:color w:val="auto"/>
        </w:rPr>
      </w:pPr>
      <w:r>
        <w:rPr>
          <w:rFonts w:ascii="Courier New" w:cs="Courier New" w:eastAsia="Courier New" w:hAnsi="Courier New"/>
          <w:sz w:val="18"/>
          <w:szCs w:val="18"/>
          <w:color w:val="auto"/>
        </w:rPr>
        <w:t>20,134,000</w:t>
      </w:r>
    </w:p>
    <w:p>
      <w:pPr>
        <w:ind w:left="3240"/>
        <w:spacing w:after="0" w:line="238" w:lineRule="auto"/>
        <w:rPr>
          <w:sz w:val="20"/>
          <w:szCs w:val="20"/>
          <w:color w:val="auto"/>
        </w:rPr>
      </w:pPr>
      <w:r>
        <w:rPr>
          <w:rFonts w:ascii="Courier New" w:cs="Courier New" w:eastAsia="Courier New" w:hAnsi="Courier New"/>
          <w:sz w:val="18"/>
          <w:szCs w:val="18"/>
          <w:color w:val="auto"/>
        </w:rPr>
        <w:t>5,641,000</w:t>
      </w:r>
    </w:p>
    <w:p>
      <w:pPr>
        <w:ind w:left="3020"/>
        <w:spacing w:after="0"/>
        <w:rPr>
          <w:sz w:val="20"/>
          <w:szCs w:val="20"/>
          <w:color w:val="auto"/>
        </w:rPr>
      </w:pPr>
      <w:r>
        <w:rPr>
          <w:rFonts w:ascii="Courier New" w:cs="Courier New" w:eastAsia="Courier New" w:hAnsi="Courier New"/>
          <w:sz w:val="18"/>
          <w:szCs w:val="18"/>
          <w:color w:val="auto"/>
        </w:rPr>
        <w:t>114,809,000</w:t>
      </w:r>
    </w:p>
    <w:p>
      <w:pPr>
        <w:ind w:left="2400"/>
        <w:spacing w:after="0" w:line="237" w:lineRule="auto"/>
        <w:rPr>
          <w:sz w:val="20"/>
          <w:szCs w:val="20"/>
          <w:color w:val="auto"/>
        </w:rPr>
      </w:pPr>
      <w:r>
        <w:rPr>
          <w:rFonts w:ascii="Courier New" w:cs="Courier New" w:eastAsia="Courier New" w:hAnsi="Courier New"/>
          <w:sz w:val="18"/>
          <w:szCs w:val="18"/>
          <w:color w:val="auto"/>
        </w:rPr>
        <w:t>45,897,000</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180"/>
        <w:spacing w:after="0" w:line="237" w:lineRule="auto"/>
        <w:rPr>
          <w:sz w:val="20"/>
          <w:szCs w:val="20"/>
          <w:color w:val="auto"/>
        </w:rPr>
      </w:pPr>
      <w:r>
        <w:rPr>
          <w:rFonts w:ascii="Courier New" w:cs="Courier New" w:eastAsia="Courier New" w:hAnsi="Courier New"/>
          <w:sz w:val="18"/>
          <w:szCs w:val="18"/>
          <w:color w:val="auto"/>
        </w:rPr>
        <w:t>80,000</w:t>
      </w:r>
    </w:p>
    <w:p>
      <w:pPr>
        <w:ind w:left="3540"/>
        <w:spacing w:after="0" w:line="238" w:lineRule="auto"/>
        <w:rPr>
          <w:sz w:val="20"/>
          <w:szCs w:val="20"/>
          <w:color w:val="auto"/>
        </w:rPr>
      </w:pPr>
      <w:r>
        <w:rPr>
          <w:rFonts w:ascii="Courier New" w:cs="Courier New" w:eastAsia="Courier New" w:hAnsi="Courier New"/>
          <w:sz w:val="18"/>
          <w:szCs w:val="18"/>
          <w:color w:val="auto"/>
        </w:rPr>
        <w:t>61,268,000</w:t>
      </w:r>
    </w:p>
    <w:p>
      <w:pPr>
        <w:ind w:left="1540"/>
        <w:spacing w:after="0"/>
        <w:rPr>
          <w:sz w:val="20"/>
          <w:szCs w:val="20"/>
          <w:color w:val="auto"/>
        </w:rPr>
      </w:pPr>
      <w:r>
        <w:rPr>
          <w:rFonts w:ascii="Courier New" w:cs="Courier New" w:eastAsia="Courier New" w:hAnsi="Courier New"/>
          <w:sz w:val="18"/>
          <w:szCs w:val="18"/>
          <w:color w:val="auto"/>
        </w:rPr>
        <w:t>114,809,000</w:t>
      </w:r>
    </w:p>
    <w:p>
      <w:pPr>
        <w:ind w:left="3760"/>
        <w:spacing w:after="0" w:line="237" w:lineRule="auto"/>
        <w:rPr>
          <w:sz w:val="20"/>
          <w:szCs w:val="20"/>
          <w:color w:val="auto"/>
        </w:rPr>
      </w:pPr>
      <w:r>
        <w:rPr>
          <w:rFonts w:ascii="Courier New" w:cs="Courier New" w:eastAsia="Courier New" w:hAnsi="Courier New"/>
          <w:sz w:val="18"/>
          <w:szCs w:val="18"/>
          <w:color w:val="auto"/>
        </w:rPr>
        <w:t>451,289,000</w:t>
      </w:r>
    </w:p>
    <w:p>
      <w:pPr>
        <w:ind w:left="2820"/>
        <w:spacing w:after="0"/>
        <w:rPr>
          <w:sz w:val="20"/>
          <w:szCs w:val="20"/>
          <w:color w:val="auto"/>
        </w:rPr>
      </w:pPr>
      <w:r>
        <w:rPr>
          <w:rFonts w:ascii="Courier New" w:cs="Courier New" w:eastAsia="Courier New" w:hAnsi="Courier New"/>
          <w:sz w:val="18"/>
          <w:szCs w:val="18"/>
          <w:color w:val="auto"/>
        </w:rPr>
        <w:t>451,289,000</w:t>
      </w:r>
    </w:p>
    <w:p>
      <w:pPr>
        <w:ind w:left="3980"/>
        <w:spacing w:after="0" w:line="237" w:lineRule="auto"/>
        <w:rPr>
          <w:sz w:val="20"/>
          <w:szCs w:val="20"/>
          <w:color w:val="auto"/>
        </w:rPr>
      </w:pPr>
      <w:r>
        <w:rPr>
          <w:rFonts w:ascii="Courier New" w:cs="Courier New" w:eastAsia="Courier New" w:hAnsi="Courier New"/>
          <w:sz w:val="18"/>
          <w:szCs w:val="18"/>
          <w:color w:val="auto"/>
        </w:rPr>
        <w:t>421,876,000</w:t>
      </w:r>
    </w:p>
    <w:p>
      <w:pPr>
        <w:ind w:left="3120"/>
        <w:spacing w:after="0"/>
        <w:rPr>
          <w:sz w:val="20"/>
          <w:szCs w:val="20"/>
          <w:color w:val="auto"/>
        </w:rPr>
      </w:pPr>
      <w:r>
        <w:rPr>
          <w:rFonts w:ascii="Courier New" w:cs="Courier New" w:eastAsia="Courier New" w:hAnsi="Courier New"/>
          <w:sz w:val="18"/>
          <w:szCs w:val="18"/>
          <w:color w:val="auto"/>
        </w:rPr>
        <w:t>421,876,000</w:t>
      </w:r>
    </w:p>
    <w:p>
      <w:pPr>
        <w:ind w:left="3860"/>
        <w:spacing w:after="0" w:line="237" w:lineRule="auto"/>
        <w:rPr>
          <w:sz w:val="20"/>
          <w:szCs w:val="20"/>
          <w:color w:val="auto"/>
        </w:rPr>
      </w:pPr>
      <w:r>
        <w:rPr>
          <w:rFonts w:ascii="Courier New" w:cs="Courier New" w:eastAsia="Courier New" w:hAnsi="Courier New"/>
          <w:sz w:val="18"/>
          <w:szCs w:val="18"/>
          <w:color w:val="auto"/>
        </w:rPr>
        <w:t>0</w:t>
      </w:r>
    </w:p>
    <w:p>
      <w:pPr>
        <w:ind w:left="3020"/>
        <w:spacing w:after="0"/>
        <w:rPr>
          <w:sz w:val="20"/>
          <w:szCs w:val="20"/>
          <w:color w:val="auto"/>
        </w:rPr>
      </w:pPr>
      <w:r>
        <w:rPr>
          <w:rFonts w:ascii="Courier New" w:cs="Courier New" w:eastAsia="Courier New" w:hAnsi="Courier New"/>
          <w:sz w:val="18"/>
          <w:szCs w:val="18"/>
          <w:color w:val="auto"/>
        </w:rPr>
        <w:t>1,185,000</w:t>
      </w:r>
    </w:p>
    <w:p>
      <w:pPr>
        <w:ind w:left="3020"/>
        <w:spacing w:after="0" w:line="237" w:lineRule="auto"/>
        <w:rPr>
          <w:sz w:val="20"/>
          <w:szCs w:val="20"/>
          <w:color w:val="auto"/>
        </w:rPr>
      </w:pPr>
      <w:r>
        <w:rPr>
          <w:rFonts w:ascii="Courier New" w:cs="Courier New" w:eastAsia="Courier New" w:hAnsi="Courier New"/>
          <w:sz w:val="18"/>
          <w:szCs w:val="18"/>
          <w:color w:val="auto"/>
        </w:rPr>
        <w:t>445,000</w:t>
      </w:r>
    </w:p>
    <w:p>
      <w:pPr>
        <w:ind w:left="3020"/>
        <w:spacing w:after="0" w:line="238" w:lineRule="auto"/>
        <w:rPr>
          <w:sz w:val="20"/>
          <w:szCs w:val="20"/>
          <w:color w:val="auto"/>
        </w:rPr>
      </w:pPr>
      <w:r>
        <w:rPr>
          <w:rFonts w:ascii="Courier New" w:cs="Courier New" w:eastAsia="Courier New" w:hAnsi="Courier New"/>
          <w:sz w:val="18"/>
          <w:szCs w:val="18"/>
          <w:color w:val="auto"/>
        </w:rPr>
        <w:t>12,721,000</w:t>
      </w:r>
    </w:p>
    <w:p>
      <w:pPr>
        <w:ind w:left="3440"/>
        <w:spacing w:after="0"/>
        <w:rPr>
          <w:sz w:val="20"/>
          <w:szCs w:val="20"/>
          <w:color w:val="auto"/>
        </w:rPr>
      </w:pPr>
      <w:r>
        <w:rPr>
          <w:rFonts w:ascii="Courier New" w:cs="Courier New" w:eastAsia="Courier New" w:hAnsi="Courier New"/>
          <w:sz w:val="18"/>
          <w:szCs w:val="18"/>
          <w:color w:val="auto"/>
        </w:rPr>
        <w:t>4,660,000</w:t>
      </w:r>
    </w:p>
    <w:p>
      <w:pPr>
        <w:ind w:left="2700"/>
        <w:spacing w:after="0" w:line="237" w:lineRule="auto"/>
        <w:rPr>
          <w:sz w:val="20"/>
          <w:szCs w:val="20"/>
          <w:color w:val="auto"/>
        </w:rPr>
      </w:pPr>
      <w:r>
        <w:rPr>
          <w:rFonts w:ascii="Courier New" w:cs="Courier New" w:eastAsia="Courier New" w:hAnsi="Courier New"/>
          <w:sz w:val="18"/>
          <w:szCs w:val="18"/>
          <w:color w:val="auto"/>
        </w:rPr>
        <w:t>8,061,000</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8,061,000</w:t>
      </w:r>
    </w:p>
    <w:p>
      <w:pPr>
        <w:ind w:left="3860"/>
        <w:spacing w:after="0" w:line="238" w:lineRule="auto"/>
        <w:rPr>
          <w:sz w:val="20"/>
          <w:szCs w:val="20"/>
          <w:color w:val="auto"/>
        </w:rPr>
      </w:pPr>
      <w:r>
        <w:rPr>
          <w:rFonts w:ascii="Courier New" w:cs="Courier New" w:eastAsia="Courier New" w:hAnsi="Courier New"/>
          <w:sz w:val="18"/>
          <w:szCs w:val="18"/>
          <w:color w:val="auto"/>
        </w:rPr>
        <w:t>1.00</w:t>
      </w:r>
    </w:p>
    <w:p>
      <w:pPr>
        <w:ind w:left="3980"/>
        <w:spacing w:after="0"/>
        <w:rPr>
          <w:sz w:val="20"/>
          <w:szCs w:val="20"/>
          <w:color w:val="auto"/>
        </w:rPr>
      </w:pPr>
      <w:r>
        <w:rPr>
          <w:rFonts w:ascii="Courier New" w:cs="Courier New" w:eastAsia="Courier New" w:hAnsi="Courier New"/>
          <w:sz w:val="18"/>
          <w:szCs w:val="18"/>
          <w:color w:val="auto"/>
        </w:rPr>
        <w:t>.99</w:t>
      </w:r>
    </w:p>
    <w:sectPr>
      <w:pgSz w:w="11900" w:h="16838" w:orient="portrait"/>
      <w:cols w:equalWidth="0" w:num="1">
        <w:col w:w="10179"/>
      </w:cols>
      <w:pgMar w:left="28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1)"/>
      <w:numFmt w:val="decimal"/>
      <w:start w:val="3"/>
    </w:lvl>
  </w:abstractNum>
  <w:abstractNum w:abstractNumId="5">
    <w:nsid w:val="41B71EFB"/>
    <w:multiLevelType w:val="hybridMultilevel"/>
    <w:lvl w:ilvl="0">
      <w:lvlJc w:val="left"/>
      <w:lvlText w:val="(%1)"/>
      <w:numFmt w:val="decimal"/>
      <w:start w:val="4"/>
    </w:lvl>
  </w:abstractNum>
  <w:abstractNum w:abstractNumId="6">
    <w:nsid w:val="79E2A9E3"/>
    <w:multiLevelType w:val="hybridMultilevel"/>
    <w:lvl w:ilvl="0">
      <w:lvlJc w:val="left"/>
      <w:lvlText w:val="(%1)"/>
      <w:numFmt w:val="decimal"/>
      <w:start w:val="5"/>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2019-12-13T16:09:10Z</dcterms:created>
  <dcterms:modified xsi:type="dcterms:W3CDTF">2019-12-13T16:09:10Z</dcterms:modified>
</cp:coreProperties>
</file>