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5"/>
          <w:szCs w:val="15"/>
          <w:color w:val="auto"/>
        </w:rPr>
        <w:t>UNITED STATES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DECEMBER 31, 2001</w:t>
      </w:r>
    </w:p>
    <w:p>
      <w:pPr>
        <w:spacing w:after="0" w:line="173" w:lineRule="exact"/>
        <w:rPr>
          <w:sz w:val="24"/>
          <w:szCs w:val="24"/>
          <w:color w:val="auto"/>
        </w:rPr>
      </w:pPr>
    </w:p>
    <w:p>
      <w:pPr>
        <w:ind w:left="440" w:right="393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FOR THE TRANSITION PERIOD FROM ___________TO __________</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COMMISSION FILE NUMBER 1-9533</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WORLD FUEL SERVICES CORPORATION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59-2459427</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8" w:lineRule="exact"/>
        <w:rPr>
          <w:sz w:val="24"/>
          <w:szCs w:val="24"/>
          <w:color w:val="auto"/>
        </w:rPr>
      </w:pPr>
    </w:p>
    <w:p>
      <w:pPr>
        <w:sectPr>
          <w:pgSz w:w="11900" w:h="16838" w:orient="portrait"/>
          <w:cols w:equalWidth="0" w:num="2">
            <w:col w:w="4620" w:space="720"/>
            <w:col w:w="4899"/>
          </w:cols>
          <w:pgMar w:left="220" w:top="561"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700 South Royal Poinciana Blvd., Suite 800</w:t>
      </w:r>
    </w:p>
    <w:p>
      <w:pPr>
        <w:spacing w:after="0" w:line="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Miami Springs, Florida</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33166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4980" w:space="720"/>
            <w:col w:w="4539"/>
          </w:cols>
          <w:pgMar w:left="220" w:top="56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Registrant's Telephone Number, including area code: (305) 884-2001</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No___.</w:t>
      </w:r>
    </w:p>
    <w:p>
      <w:pPr>
        <w:ind w:left="41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APPLICABLE ONLY TO CORPORATE ISSUERS:</w:t>
      </w:r>
    </w:p>
    <w:p>
      <w:pPr>
        <w:spacing w:after="0" w:line="173" w:lineRule="exact"/>
        <w:rPr>
          <w:sz w:val="24"/>
          <w:szCs w:val="24"/>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registrant had a total of 10,463,000 shares of common stock, net of treasury stock, par value $0.01 per share, issued and outstanding as of February 4, 2002.</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PART I. FINANCIAL INFORMATION</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following unaudited, condensed consolidated financial statements of World Fuel Services Corporation (the "Company" or "World Fuel")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and nine months ended December 31, 2001, will not be necessarily indicative of the results for the entire fiscal year ending March 31, 2002. The condensed consolidated financial statements and notes thereto included in this Form 10-Q should be read in conjunction with the Company's audited consolidated financial statements and notes thereto included in the Company's Annual Report on Form 10-K for the year ended March 31, 2001.</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39"/>
          </w:cols>
          <w:pgMar w:left="220" w:top="617" w:right="1440" w:bottom="1440" w:gutter="0" w:footer="0" w:header="0"/>
        </w:sectPr>
      </w:pPr>
    </w:p>
    <w:bookmarkStart w:id="2" w:name="page3"/>
    <w:bookmarkEnd w:id="2"/>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CONDENSED CONSOLIDATED BALANCE SHEETS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2020"/>
        <w:spacing w:after="0" w:line="238"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December 31,</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c>
          <w:tcPr>
            <w:tcW w:w="16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(UNAUDITED)</w:t>
            </w:r>
          </w:p>
        </w:tc>
        <w:tc>
          <w:tcPr>
            <w:tcW w:w="1680" w:type="dxa"/>
            <w:vAlign w:val="bottom"/>
          </w:tcPr>
          <w:p>
            <w:pPr>
              <w:spacing w:after="0"/>
              <w:rPr>
                <w:sz w:val="14"/>
                <w:szCs w:val="14"/>
                <w:color w:val="auto"/>
              </w:rPr>
            </w:pPr>
          </w:p>
        </w:tc>
      </w:tr>
      <w:tr>
        <w:trPr>
          <w:trHeight w:val="336"/>
        </w:trPr>
        <w:tc>
          <w:tcPr>
            <w:tcW w:w="5660" w:type="dxa"/>
            <w:vAlign w:val="bottom"/>
          </w:tcPr>
          <w:p>
            <w:pPr>
              <w:ind w:left="3600"/>
              <w:spacing w:after="0"/>
              <w:rPr>
                <w:sz w:val="20"/>
                <w:szCs w:val="20"/>
                <w:color w:val="auto"/>
              </w:rPr>
            </w:pPr>
            <w:r>
              <w:rPr>
                <w:rFonts w:ascii="Courier New" w:cs="Courier New" w:eastAsia="Courier New" w:hAnsi="Courier New"/>
                <w:sz w:val="15"/>
                <w:szCs w:val="15"/>
                <w:color w:val="auto"/>
              </w:rPr>
              <w:t>ASSETS</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8"/>
        </w:trPr>
        <w:tc>
          <w:tcPr>
            <w:tcW w:w="566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$ 56,179</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$ 38,977</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and notes receivable, net of allowance for</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bad debts of $11,001 and $11,167, at December 31 and</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March 31, 2001, respectively</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95,636</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125,863</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2,902</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5,009</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16,391</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18,376</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171,108</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188,225</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5,738</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6,131</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29,711</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24,598</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3,136</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3,211</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4"/>
                <w:szCs w:val="24"/>
                <w:color w:val="auto"/>
              </w:rPr>
            </w:pP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$209,693</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$222,165</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2280"/>
              <w:spacing w:after="0"/>
              <w:rPr>
                <w:sz w:val="20"/>
                <w:szCs w:val="20"/>
                <w:color w:val="auto"/>
              </w:rPr>
            </w:pPr>
            <w:r>
              <w:rPr>
                <w:rFonts w:ascii="Courier New" w:cs="Courier New" w:eastAsia="Courier New" w:hAnsi="Courier New"/>
                <w:sz w:val="15"/>
                <w:szCs w:val="15"/>
                <w:color w:val="auto"/>
              </w:rPr>
              <w:t>LIABILITIES AND STOCKHOLDERS' EQUITY</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8"/>
        </w:trPr>
        <w:tc>
          <w:tcPr>
            <w:tcW w:w="5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debt</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3,370</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2,321</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55,694</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69,147</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20,786</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28,465</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10,560</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12,506</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90,410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112,439</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5,491</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5,866</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Preferred stock, $1.00 par value; 100,000 shares authorized,</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none issued</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 stock, $0.01 par value; 25,000,000 shares authorized;</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12,729,000 and 12,541,000 shares issued and outstanding at</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and March 31, 2001, respectively</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127</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28,720</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26,889</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103,148</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93,770</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Less treasury stock, at cost; 2,271,000 and 2,138,000 shares</w:t>
            </w: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 December 31 and March 31, 2001, respectively</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18,203</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16,924</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620"/>
              <w:spacing w:after="0"/>
              <w:rPr>
                <w:sz w:val="20"/>
                <w:szCs w:val="20"/>
                <w:color w:val="auto"/>
              </w:rPr>
            </w:pPr>
            <w:r>
              <w:rPr>
                <w:rFonts w:ascii="Courier New" w:cs="Courier New" w:eastAsia="Courier New" w:hAnsi="Courier New"/>
                <w:sz w:val="15"/>
                <w:szCs w:val="15"/>
                <w:color w:val="auto"/>
              </w:rPr>
              <w:t>Total stockholders' equity</w:t>
            </w: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113,792</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103,860</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4"/>
                <w:szCs w:val="24"/>
                <w:color w:val="auto"/>
              </w:rPr>
            </w:pPr>
          </w:p>
        </w:tc>
        <w:tc>
          <w:tcPr>
            <w:tcW w:w="1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$209,693</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$222,165</w:t>
            </w:r>
          </w:p>
        </w:tc>
      </w:tr>
      <w:tr>
        <w:trPr>
          <w:trHeight w:val="168"/>
        </w:trPr>
        <w:tc>
          <w:tcPr>
            <w:tcW w:w="566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540" w:right="3239" w:hanging="524"/>
        <w:spacing w:after="0" w:line="234" w:lineRule="auto"/>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financial statements.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617" w:right="1440" w:bottom="1440" w:gutter="0" w:footer="0" w:header="0"/>
        </w:sectPr>
      </w:pPr>
    </w:p>
    <w:bookmarkStart w:id="3" w:name="page4"/>
    <w:bookmarkEnd w:id="3"/>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ind w:left="1580"/>
        <w:spacing w:after="0" w:line="238" w:lineRule="auto"/>
        <w:rPr>
          <w:sz w:val="20"/>
          <w:szCs w:val="20"/>
          <w:color w:val="auto"/>
        </w:rPr>
      </w:pPr>
      <w:r>
        <w:rPr>
          <w:rFonts w:ascii="Courier New" w:cs="Courier New" w:eastAsia="Courier New" w:hAnsi="Courier New"/>
          <w:sz w:val="15"/>
          <w:szCs w:val="15"/>
          <w:color w:val="auto"/>
        </w:rPr>
        <w:t>CONDENSED CONSOLIDATED STATEMENTS OF INCOME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1320"/>
        <w:spacing w:after="0" w:line="238" w:lineRule="auto"/>
        <w:rPr>
          <w:sz w:val="20"/>
          <w:szCs w:val="20"/>
          <w:color w:val="auto"/>
        </w:rPr>
      </w:pPr>
      <w:r>
        <w:rPr>
          <w:rFonts w:ascii="Courier New" w:cs="Courier New" w:eastAsia="Courier New" w:hAnsi="Courier New"/>
          <w:sz w:val="15"/>
          <w:szCs w:val="15"/>
          <w:color w:val="auto"/>
        </w:rPr>
        <w:t>(UNAUDITED - 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0" w:type="dxa"/>
            <w:vAlign w:val="bottom"/>
            <w:gridSpan w:val="3"/>
          </w:tcPr>
          <w:p>
            <w:pPr>
              <w:jc w:val="right"/>
              <w:ind w:right="8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74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60" w:type="dxa"/>
            <w:vAlign w:val="bottom"/>
          </w:tcPr>
          <w:p>
            <w:pPr>
              <w:spacing w:after="0"/>
              <w:rPr>
                <w:sz w:val="14"/>
                <w:szCs w:val="14"/>
                <w:color w:val="auto"/>
              </w:rPr>
            </w:pPr>
          </w:p>
        </w:tc>
        <w:tc>
          <w:tcPr>
            <w:tcW w:w="2740" w:type="dxa"/>
            <w:vAlign w:val="bottom"/>
            <w:gridSpan w:val="2"/>
          </w:tcPr>
          <w:p>
            <w:pPr>
              <w:jc w:val="right"/>
              <w:ind w:right="122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4"/>
                <w:szCs w:val="14"/>
                <w:color w:val="auto"/>
              </w:rPr>
            </w:pPr>
          </w:p>
        </w:tc>
        <w:tc>
          <w:tcPr>
            <w:tcW w:w="17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10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325,964</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408,567</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1,013,781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1,161,180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307,115</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390,458</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958,753</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1,109,351</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Gross profit</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18,849</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18,109</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55,028</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51,829</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Salaries and wages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7,455</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7,257</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22,445</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19,259</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Executive severance charge</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3,505</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1,072</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1,359</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3,244</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7,786</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4,761</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4,751</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14,433</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14,598</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13,288</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13,367</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40,122</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45,148</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5,561</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4,742</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14,906</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6,681</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net</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369</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1,171</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Non-recurring credit in marine segment</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Non-recurring credit in aviation segment</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210</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w:t>
            </w:r>
          </w:p>
        </w:tc>
        <w:tc>
          <w:tcPr>
            <w:tcW w:w="7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579</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708</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1,833</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2,067</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6,140</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5,450</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16,739</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8,748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1,667</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1,538</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3,977</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1,374</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4,473</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3,912</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12,762</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7,374</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Discontinued operations, loss net of taxes</w:t>
            </w:r>
          </w:p>
        </w:tc>
        <w:tc>
          <w:tcPr>
            <w:tcW w:w="1340" w:type="dxa"/>
            <w:vAlign w:val="bottom"/>
          </w:tcPr>
          <w:p>
            <w:pPr>
              <w:spacing w:after="0"/>
              <w:rPr>
                <w:sz w:val="24"/>
                <w:szCs w:val="24"/>
                <w:color w:val="auto"/>
              </w:rPr>
            </w:pP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76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4,473</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3,416</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12,762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6,878</w:t>
            </w:r>
          </w:p>
        </w:tc>
      </w:tr>
      <w:tr>
        <w:trPr>
          <w:trHeight w:val="168"/>
        </w:trPr>
        <w:tc>
          <w:tcPr>
            <w:tcW w:w="4260" w:type="dxa"/>
            <w:vAlign w:val="bottom"/>
          </w:tcPr>
          <w:p>
            <w:pPr>
              <w:spacing w:after="0"/>
              <w:rPr>
                <w:sz w:val="14"/>
                <w:szCs w:val="14"/>
                <w:color w:val="auto"/>
              </w:rPr>
            </w:pPr>
          </w:p>
        </w:tc>
        <w:tc>
          <w:tcPr>
            <w:tcW w:w="3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0.43</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0.37</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0.43</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0.32</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4260" w:type="dxa"/>
            <w:vAlign w:val="bottom"/>
          </w:tcPr>
          <w:p>
            <w:pPr>
              <w:spacing w:after="0"/>
              <w:rPr>
                <w:sz w:val="14"/>
                <w:szCs w:val="14"/>
                <w:color w:val="auto"/>
              </w:rPr>
            </w:pPr>
          </w:p>
        </w:tc>
        <w:tc>
          <w:tcPr>
            <w:tcW w:w="3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 basic</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10,341</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10,520</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10,378</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10,723</w:t>
            </w:r>
          </w:p>
        </w:tc>
      </w:tr>
      <w:tr>
        <w:trPr>
          <w:trHeight w:val="168"/>
        </w:trPr>
        <w:tc>
          <w:tcPr>
            <w:tcW w:w="4260" w:type="dxa"/>
            <w:vAlign w:val="bottom"/>
          </w:tcPr>
          <w:p>
            <w:pPr>
              <w:spacing w:after="0"/>
              <w:rPr>
                <w:sz w:val="14"/>
                <w:szCs w:val="14"/>
                <w:color w:val="auto"/>
              </w:rPr>
            </w:pPr>
          </w:p>
        </w:tc>
        <w:tc>
          <w:tcPr>
            <w:tcW w:w="3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0.42</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0.37</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0.69</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260" w:type="dxa"/>
            <w:vAlign w:val="bottom"/>
          </w:tcPr>
          <w:p>
            <w:pPr>
              <w:spacing w:after="0"/>
              <w:rPr>
                <w:sz w:val="14"/>
                <w:szCs w:val="14"/>
                <w:color w:val="auto"/>
              </w:rPr>
            </w:pPr>
          </w:p>
        </w:tc>
        <w:tc>
          <w:tcPr>
            <w:tcW w:w="31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77"/>
              </w:rPr>
              <w:t>------------------- ------------------</w:t>
            </w:r>
          </w:p>
        </w:tc>
        <w:tc>
          <w:tcPr>
            <w:tcW w:w="7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0.42</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0.32</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4260" w:type="dxa"/>
            <w:vAlign w:val="bottom"/>
          </w:tcPr>
          <w:p>
            <w:pPr>
              <w:spacing w:after="0"/>
              <w:rPr>
                <w:sz w:val="14"/>
                <w:szCs w:val="14"/>
                <w:color w:val="auto"/>
              </w:rPr>
            </w:pPr>
          </w:p>
        </w:tc>
        <w:tc>
          <w:tcPr>
            <w:tcW w:w="3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 diluted</w:t>
            </w:r>
          </w:p>
        </w:tc>
        <w:tc>
          <w:tcPr>
            <w:tcW w:w="1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10,763</w:t>
            </w:r>
          </w:p>
        </w:tc>
        <w:tc>
          <w:tcPr>
            <w:tcW w:w="4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10,520</w:t>
            </w:r>
          </w:p>
        </w:tc>
        <w:tc>
          <w:tcPr>
            <w:tcW w:w="7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10,652</w:t>
            </w:r>
          </w:p>
        </w:tc>
        <w:tc>
          <w:tcPr>
            <w:tcW w:w="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10,735</w:t>
            </w:r>
          </w:p>
        </w:tc>
      </w:tr>
      <w:tr>
        <w:trPr>
          <w:trHeight w:val="168"/>
        </w:trPr>
        <w:tc>
          <w:tcPr>
            <w:tcW w:w="4260" w:type="dxa"/>
            <w:vAlign w:val="bottom"/>
          </w:tcPr>
          <w:p>
            <w:pPr>
              <w:spacing w:after="0"/>
              <w:rPr>
                <w:sz w:val="14"/>
                <w:szCs w:val="14"/>
                <w:color w:val="auto"/>
              </w:rPr>
            </w:pPr>
          </w:p>
        </w:tc>
        <w:tc>
          <w:tcPr>
            <w:tcW w:w="3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360" w:right="4700" w:hanging="261"/>
        <w:spacing w:after="0" w:line="261" w:lineRule="auto"/>
        <w:rPr>
          <w:sz w:val="20"/>
          <w:szCs w:val="20"/>
          <w:color w:val="auto"/>
        </w:rPr>
      </w:pPr>
      <w:r>
        <w:rPr>
          <w:rFonts w:ascii="Courier New" w:cs="Courier New" w:eastAsia="Courier New" w:hAnsi="Courier New"/>
          <w:sz w:val="14"/>
          <w:szCs w:val="14"/>
          <w:color w:val="auto"/>
        </w:rPr>
        <w:t>The accompanying notes to the condensed consolidated financial statements are an integral part of these condensed consolidated financial statements.</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540"/>
          </w:cols>
          <w:pgMar w:left="220" w:top="617"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726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CONDENSED CONSOLIDATED STATEMENTS OF CASH FLOWS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(UNAUDITED - IN THOUSANDS)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7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4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7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r>
      <w:tr>
        <w:trPr>
          <w:trHeight w:val="168"/>
        </w:trPr>
        <w:tc>
          <w:tcPr>
            <w:tcW w:w="7260" w:type="dxa"/>
            <w:vAlign w:val="bottom"/>
          </w:tcPr>
          <w:p>
            <w:pPr>
              <w:spacing w:after="0"/>
              <w:rPr>
                <w:sz w:val="14"/>
                <w:szCs w:val="14"/>
                <w:color w:val="auto"/>
              </w:rPr>
            </w:pPr>
          </w:p>
        </w:tc>
        <w:tc>
          <w:tcPr>
            <w:tcW w:w="39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2001</w:t>
            </w:r>
          </w:p>
        </w:tc>
        <w:tc>
          <w:tcPr>
            <w:tcW w:w="56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continuing operating activities:</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12,762</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7,374</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income from continuing operations to net cash</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continuing operating activities -</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1,296</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1,720</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3,244</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7,786</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 (benefit) provision</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non-cash operating credits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2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26,983</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(2,303)</w:t>
            </w:r>
          </w:p>
        </w:tc>
      </w:tr>
      <w:tr>
        <w:trPr>
          <w:trHeight w:val="168"/>
        </w:trPr>
        <w:tc>
          <w:tcPr>
            <w:tcW w:w="72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2,107</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3,919</w:t>
            </w:r>
          </w:p>
        </w:tc>
      </w:tr>
      <w:tr>
        <w:trPr>
          <w:trHeight w:val="168"/>
        </w:trPr>
        <w:tc>
          <w:tcPr>
            <w:tcW w:w="72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(5,625)</w:t>
            </w:r>
          </w:p>
        </w:tc>
      </w:tr>
      <w:tr>
        <w:trPr>
          <w:trHeight w:val="168"/>
        </w:trPr>
        <w:tc>
          <w:tcPr>
            <w:tcW w:w="72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72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(21,395)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(12,210)</w:t>
            </w:r>
          </w:p>
        </w:tc>
      </w:tr>
      <w:tr>
        <w:trPr>
          <w:trHeight w:val="168"/>
        </w:trPr>
        <w:tc>
          <w:tcPr>
            <w:tcW w:w="72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(2,129)</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3,895</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10,640</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(1,820)</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cash provided by continuing operating activities: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23,402</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5,554</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 for acquisition of business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(3,113)</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(978)</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(1,866)</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 aviation joint venture</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the sale of leasehold property</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296</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(2,866)</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(3,121)</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(1,634)</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treasury stock</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(4,404)</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debt</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(1,510)</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7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the exercise of stock options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1,755</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(4,155)</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(6,055)</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w:t>
            </w:r>
          </w:p>
        </w:tc>
        <w:tc>
          <w:tcPr>
            <w:tcW w:w="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(10,356)</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40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17,202</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(13,723)</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14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38,977</w:t>
            </w:r>
          </w:p>
        </w:tc>
        <w:tc>
          <w:tcPr>
            <w:tcW w:w="5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32,773</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56,179</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19,050</w:t>
            </w:r>
          </w:p>
        </w:tc>
      </w:tr>
      <w:tr>
        <w:trPr>
          <w:trHeight w:val="168"/>
        </w:trPr>
        <w:tc>
          <w:tcPr>
            <w:tcW w:w="7260" w:type="dxa"/>
            <w:vAlign w:val="bottom"/>
          </w:tcPr>
          <w:p>
            <w:pPr>
              <w:spacing w:after="0"/>
              <w:rPr>
                <w:sz w:val="14"/>
                <w:szCs w:val="14"/>
                <w:color w:val="auto"/>
              </w:rPr>
            </w:pPr>
          </w:p>
        </w:tc>
        <w:tc>
          <w:tcPr>
            <w:tcW w:w="2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200"/>
          </w:cols>
          <w:pgMar w:left="220" w:top="617" w:right="479" w:bottom="1440" w:gutter="0" w:footer="0" w:header="0"/>
        </w:sectPr>
      </w:pPr>
    </w:p>
    <w:bookmarkStart w:id="5" w:name="page6"/>
    <w:bookmarkEnd w:id="5"/>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rPr>
          <w:sz w:val="20"/>
          <w:szCs w:val="20"/>
          <w:color w:val="auto"/>
        </w:rPr>
      </w:pPr>
      <w:r>
        <w:rPr>
          <w:rFonts w:ascii="Courier New" w:cs="Courier New" w:eastAsia="Courier New" w:hAnsi="Courier New"/>
          <w:sz w:val="15"/>
          <w:szCs w:val="15"/>
          <w:color w:val="auto"/>
        </w:rPr>
        <w:t>CONDENSED CONSOLIDATED STATEMENTS OF CASH FLOWS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rPr>
          <w:sz w:val="20"/>
          <w:szCs w:val="20"/>
          <w:color w:val="auto"/>
        </w:rPr>
      </w:pPr>
      <w:r>
        <w:rPr>
          <w:rFonts w:ascii="Courier New" w:cs="Courier New" w:eastAsia="Courier New" w:hAnsi="Courier New"/>
          <w:sz w:val="15"/>
          <w:szCs w:val="15"/>
          <w:color w:val="auto"/>
        </w:rPr>
        <w:t>(UNAUDITED - IN THOUSANDS)</w:t>
      </w:r>
    </w:p>
    <w:p>
      <w:pPr>
        <w:ind w:left="2980"/>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Nine Months Ended</w:t>
      </w:r>
    </w:p>
    <w:p>
      <w:pPr>
        <w:jc w:val="center"/>
        <w:ind w:left="46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360"/>
        <w:spacing w:after="0"/>
        <w:tabs>
          <w:tab w:leader="none" w:pos="10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jc w:val="center"/>
        <w:ind w:right="-1320"/>
        <w:spacing w:after="0" w:line="237" w:lineRule="auto"/>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SUPPLEMENTAL DISCLOSURES OF CASH FLOW INFORMATION:</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Cash paid during the period for:</w:t>
      </w:r>
    </w:p>
    <w:p>
      <w:pPr>
        <w:sectPr>
          <w:pgSz w:w="11900" w:h="16838" w:orient="portrait"/>
          <w:cols w:equalWidth="0" w:num="1">
            <w:col w:w="10239"/>
          </w:cols>
          <w:pgMar w:left="220" w:top="617"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Interest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$ 4,720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7" w:lineRule="auto"/>
        <w:tabs>
          <w:tab w:leader="none" w:pos="320" w:val="left"/>
        </w:tabs>
        <w:rPr>
          <w:sz w:val="20"/>
          <w:szCs w:val="20"/>
          <w:color w:val="auto"/>
        </w:rPr>
      </w:pPr>
      <w:r>
        <w:rPr>
          <w:rFonts w:ascii="Courier New" w:cs="Courier New" w:eastAsia="Courier New" w:hAnsi="Courier New"/>
          <w:sz w:val="15"/>
          <w:szCs w:val="15"/>
          <w:color w:val="auto"/>
        </w:rPr>
        <w:t>$</w:t>
        <w:tab/>
        <w:t>205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$12,990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4100" w:space="720"/>
            <w:col w:w="680" w:space="720"/>
            <w:col w:w="40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SUPPLEMENTAL SCHEDULE OF NONCASH ACTIVITIES:</w:t>
      </w:r>
    </w:p>
    <w:p>
      <w:pPr>
        <w:spacing w:after="0" w:line="173" w:lineRule="exact"/>
        <w:rPr>
          <w:sz w:val="20"/>
          <w:szCs w:val="20"/>
          <w:color w:val="auto"/>
        </w:rPr>
      </w:pPr>
    </w:p>
    <w:p>
      <w:pPr>
        <w:ind w:left="100" w:right="3399"/>
        <w:spacing w:after="0" w:line="235" w:lineRule="auto"/>
        <w:rPr>
          <w:sz w:val="20"/>
          <w:szCs w:val="20"/>
          <w:color w:val="auto"/>
        </w:rPr>
      </w:pPr>
      <w:r>
        <w:rPr>
          <w:rFonts w:ascii="Courier New" w:cs="Courier New" w:eastAsia="Courier New" w:hAnsi="Courier New"/>
          <w:sz w:val="15"/>
          <w:szCs w:val="15"/>
          <w:color w:val="auto"/>
        </w:rPr>
        <w:t>Cash dividends declared, but not yet paid, of $783 thousand and $520 thousand are included in Accrued expenses as of December 31, 2001 and 2000, respectively.</w:t>
      </w:r>
    </w:p>
    <w:p>
      <w:pPr>
        <w:spacing w:after="0" w:line="174" w:lineRule="exact"/>
        <w:rPr>
          <w:sz w:val="20"/>
          <w:szCs w:val="20"/>
          <w:color w:val="auto"/>
        </w:rPr>
      </w:pPr>
    </w:p>
    <w:p>
      <w:pPr>
        <w:ind w:left="100" w:right="3239"/>
        <w:spacing w:after="0" w:line="235" w:lineRule="auto"/>
        <w:rPr>
          <w:sz w:val="20"/>
          <w:szCs w:val="20"/>
          <w:color w:val="auto"/>
        </w:rPr>
      </w:pPr>
      <w:r>
        <w:rPr>
          <w:rFonts w:ascii="Courier New" w:cs="Courier New" w:eastAsia="Courier New" w:hAnsi="Courier New"/>
          <w:sz w:val="15"/>
          <w:szCs w:val="15"/>
          <w:color w:val="auto"/>
        </w:rPr>
        <w:t>In connection with an April 2001 acquisition in the marine segment, the Company issued $2.0 million in notes payable, of which $1.0 million was included in each of Short-term debt and Long-term liabilities.</w:t>
      </w:r>
    </w:p>
    <w:p>
      <w:pPr>
        <w:spacing w:after="0" w:line="174" w:lineRule="exact"/>
        <w:rPr>
          <w:sz w:val="20"/>
          <w:szCs w:val="20"/>
          <w:color w:val="auto"/>
        </w:rPr>
      </w:pPr>
    </w:p>
    <w:p>
      <w:pPr>
        <w:ind w:left="540" w:right="3239" w:hanging="524"/>
        <w:spacing w:after="0" w:line="234" w:lineRule="auto"/>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617" w:right="1440" w:bottom="1440" w:gutter="0" w:footer="0" w:header="0"/>
          <w:type w:val="continuous"/>
        </w:sectPr>
      </w:pPr>
    </w:p>
    <w:bookmarkStart w:id="6" w:name="page7"/>
    <w:bookmarkEnd w:id="6"/>
    <w:p>
      <w:pPr>
        <w:ind w:left="1400"/>
        <w:spacing w:after="0"/>
        <w:rPr>
          <w:sz w:val="20"/>
          <w:szCs w:val="20"/>
          <w:color w:val="auto"/>
        </w:rPr>
      </w:pPr>
      <w:r>
        <w:rPr>
          <w:rFonts w:ascii="Courier New" w:cs="Courier New" w:eastAsia="Courier New" w:hAnsi="Courier New"/>
          <w:sz w:val="15"/>
          <w:szCs w:val="15"/>
          <w:color w:val="auto"/>
        </w:rPr>
        <w:t>WORLD FUEL SERVICES CORPORATION AND SUBSIDIARIES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NOTES TO THE CONDENSED CONSOLIDATED FINANCIAL STATEMENTS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accounting polices followed for quarterly financial reporting are the same as those disclosed in Note 1 of the Notes to the Consolidated Financial Statements included in the Company's Annual Report on Form 10-K for the year ended March 31, 2001.</w:t>
      </w:r>
    </w:p>
    <w:p>
      <w:pPr>
        <w:spacing w:after="0" w:line="337"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April 2001, the Company made an acquisition in the marine segment for approximately $5.1 million, consisting of approximately $3.1 million in cash and the remainder in debt. The acquisition was accounted for as a purchase. Accordingly, the operations acquired have been included with the results of the Company since April 1, 2001. The cost in excess of net assets acquired amounted to $5.1 million, including approximately $64 thousand in acquisition costs, and was considered goodwill. No other significant intangibles existed at the date of acquisition. Subsequent to December 31, 2001, the Company made another acquisition in the marine segment for approximately $8.4 million. This acquisition will be accounted for in accordance with Statement of Financial Accounting Standards ("SFAS") No. 141, "Business Combinations."</w:t>
      </w:r>
    </w:p>
    <w:p>
      <w:pPr>
        <w:spacing w:after="0" w:line="342"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Effective April 1, 2001, the Company adopted SFAS No. 133, "Accounting for Derivative Instruments and Hedging Activities," as amended by SFAS No. 138, "Accounting for Derivative Instruments and Certain Hedging Activities-an amendment of FASB Statement No. 133." SFAS No. 133, as amended, establishes accounting and reporting standards for every derivative instrument, including certain derivative instruments embedded in other contracts. The implementation of SFAS No. 133, as amended, did not have a material effect on the Company's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July 1, 2001, the Company adopted SFAS No. 141, "Business Combinations." SFAS No. 141 established accounting and reporting standards for business combinations requiring that all business combinations, within the scope of SFAS No. 141, are to be accounted for using only the purchase method of accounting. The adoption of SFAS No. 141 did not have a material effect on the Company's financial statements.</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6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Goodwill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gridSpan w:val="5"/>
          </w:tcPr>
          <w:p>
            <w:pPr>
              <w:spacing w:after="0"/>
              <w:rPr>
                <w:sz w:val="20"/>
                <w:szCs w:val="20"/>
                <w:color w:val="auto"/>
              </w:rPr>
            </w:pPr>
            <w:r>
              <w:rPr>
                <w:rFonts w:ascii="Courier New" w:cs="Courier New" w:eastAsia="Courier New" w:hAnsi="Courier New"/>
                <w:sz w:val="15"/>
                <w:szCs w:val="15"/>
                <w:color w:val="auto"/>
              </w:rPr>
              <w:t>Effective April 1, 2001, as permitted, the Company elected to early adopt SFAS</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No. 142, "Goodwill and Other Intangible Assets."</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SFAS No. 142</w:t>
            </w: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establishes</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accounting and reporting for acquired goodwill and other intangible assets, and</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states that goodwill shall not be amortized prospectively.  Accordingly, no</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goodwill amortization was recorded for the three and nine months ended December</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31, 2001.  As required, the Company has completed the initial step of the</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transitional goodwill impairment test for goodwill in each of its reporting</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units as of April 1, 2001.  This step of the goodwill impairment test, used to</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identify potential impairment, compares the fair value of a reporting unit with</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its carrying amount, including goodwill.  Based on the results of these</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comparisons, goodwill in each of the Company's reporting units is not considered</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impaired.  In accordance with SFAS No. 142, the following proforma information</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is presented:</w:t>
            </w: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w:t>
            </w:r>
          </w:p>
        </w:tc>
        <w:tc>
          <w:tcPr>
            <w:tcW w:w="4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88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w:t>
            </w:r>
          </w:p>
        </w:tc>
        <w:tc>
          <w:tcPr>
            <w:tcW w:w="1120" w:type="dxa"/>
            <w:vAlign w:val="bottom"/>
          </w:tcPr>
          <w:p>
            <w:pPr>
              <w:spacing w:after="0"/>
              <w:rPr>
                <w:sz w:val="14"/>
                <w:szCs w:val="14"/>
                <w:color w:val="auto"/>
              </w:rPr>
            </w:pPr>
          </w:p>
        </w:tc>
        <w:tc>
          <w:tcPr>
            <w:tcW w:w="16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2400" w:type="dxa"/>
            <w:vAlign w:val="bottom"/>
            <w:gridSpan w:val="2"/>
          </w:tcPr>
          <w:p>
            <w:pPr>
              <w:ind w:left="700"/>
              <w:spacing w:after="0"/>
              <w:rPr>
                <w:sz w:val="20"/>
                <w:szCs w:val="20"/>
                <w:color w:val="auto"/>
              </w:rPr>
            </w:pPr>
            <w:r>
              <w:rPr>
                <w:rFonts w:ascii="Courier New" w:cs="Courier New" w:eastAsia="Courier New" w:hAnsi="Courier New"/>
                <w:sz w:val="11"/>
                <w:szCs w:val="11"/>
                <w:color w:val="auto"/>
                <w:w w:val="74"/>
              </w:rPr>
              <w:t>----------------------------------</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1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3080" w:type="dxa"/>
            <w:vAlign w:val="bottom"/>
          </w:tcPr>
          <w:p>
            <w:pPr>
              <w:spacing w:after="0"/>
              <w:rPr>
                <w:sz w:val="14"/>
                <w:szCs w:val="14"/>
                <w:color w:val="auto"/>
              </w:rPr>
            </w:pPr>
          </w:p>
        </w:tc>
        <w:tc>
          <w:tcPr>
            <w:tcW w:w="1120" w:type="dxa"/>
            <w:vAlign w:val="bottom"/>
          </w:tcPr>
          <w:p>
            <w:pPr>
              <w:ind w:left="700"/>
              <w:spacing w:after="0"/>
              <w:rPr>
                <w:sz w:val="20"/>
                <w:szCs w:val="20"/>
                <w:color w:val="auto"/>
              </w:rPr>
            </w:pPr>
            <w:r>
              <w:rPr>
                <w:rFonts w:ascii="Courier New" w:cs="Courier New" w:eastAsia="Courier New" w:hAnsi="Courier New"/>
                <w:sz w:val="6"/>
                <w:szCs w:val="6"/>
                <w:color w:val="auto"/>
                <w:w w:val="73"/>
              </w:rPr>
              <w:t>---------------</w:t>
            </w:r>
          </w:p>
        </w:tc>
        <w:tc>
          <w:tcPr>
            <w:tcW w:w="2860" w:type="dxa"/>
            <w:vAlign w:val="bottom"/>
            <w:gridSpan w:val="3"/>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112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4,473</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3,416</w:t>
            </w:r>
          </w:p>
        </w:tc>
        <w:tc>
          <w:tcPr>
            <w:tcW w:w="4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12,762</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Goodwill</w:t>
            </w: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net of tax</w:t>
            </w:r>
          </w:p>
        </w:tc>
        <w:tc>
          <w:tcPr>
            <w:tcW w:w="11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144</w:t>
            </w:r>
          </w:p>
        </w:tc>
        <w:tc>
          <w:tcPr>
            <w:tcW w:w="4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w:t>
            </w:r>
          </w:p>
        </w:tc>
      </w:tr>
      <w:tr>
        <w:trPr>
          <w:trHeight w:val="168"/>
        </w:trPr>
        <w:tc>
          <w:tcPr>
            <w:tcW w:w="3080" w:type="dxa"/>
            <w:vAlign w:val="bottom"/>
          </w:tcPr>
          <w:p>
            <w:pPr>
              <w:spacing w:after="0"/>
              <w:rPr>
                <w:sz w:val="14"/>
                <w:szCs w:val="14"/>
                <w:color w:val="auto"/>
              </w:rPr>
            </w:pPr>
          </w:p>
        </w:tc>
        <w:tc>
          <w:tcPr>
            <w:tcW w:w="24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Adjusted net income</w:t>
            </w:r>
          </w:p>
        </w:tc>
        <w:tc>
          <w:tcPr>
            <w:tcW w:w="112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4,473</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3,560</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12,762</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7,312</w:t>
            </w:r>
          </w:p>
        </w:tc>
      </w:tr>
      <w:tr>
        <w:trPr>
          <w:trHeight w:val="168"/>
        </w:trPr>
        <w:tc>
          <w:tcPr>
            <w:tcW w:w="3080" w:type="dxa"/>
            <w:vAlign w:val="bottom"/>
          </w:tcPr>
          <w:p>
            <w:pPr>
              <w:spacing w:after="0"/>
              <w:rPr>
                <w:sz w:val="14"/>
                <w:szCs w:val="14"/>
                <w:color w:val="auto"/>
              </w:rPr>
            </w:pPr>
          </w:p>
        </w:tc>
        <w:tc>
          <w:tcPr>
            <w:tcW w:w="24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Reported net income</w:t>
            </w:r>
          </w:p>
        </w:tc>
        <w:tc>
          <w:tcPr>
            <w:tcW w:w="112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0.43</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0.32</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 amortization</w:t>
            </w:r>
          </w:p>
        </w:tc>
        <w:tc>
          <w:tcPr>
            <w:tcW w:w="11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0.01</w:t>
            </w:r>
          </w:p>
        </w:tc>
        <w:tc>
          <w:tcPr>
            <w:tcW w:w="4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3080" w:type="dxa"/>
            <w:vAlign w:val="bottom"/>
          </w:tcPr>
          <w:p>
            <w:pPr>
              <w:spacing w:after="0"/>
              <w:rPr>
                <w:sz w:val="14"/>
                <w:szCs w:val="14"/>
                <w:color w:val="auto"/>
              </w:rPr>
            </w:pPr>
          </w:p>
        </w:tc>
        <w:tc>
          <w:tcPr>
            <w:tcW w:w="24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Adjusted net income</w:t>
            </w:r>
          </w:p>
        </w:tc>
        <w:tc>
          <w:tcPr>
            <w:tcW w:w="112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0.43</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0.33</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0.68</w:t>
            </w:r>
          </w:p>
        </w:tc>
      </w:tr>
      <w:tr>
        <w:trPr>
          <w:trHeight w:val="168"/>
        </w:trPr>
        <w:tc>
          <w:tcPr>
            <w:tcW w:w="3080" w:type="dxa"/>
            <w:vAlign w:val="bottom"/>
          </w:tcPr>
          <w:p>
            <w:pPr>
              <w:spacing w:after="0"/>
              <w:rPr>
                <w:sz w:val="14"/>
                <w:szCs w:val="14"/>
                <w:color w:val="auto"/>
              </w:rPr>
            </w:pPr>
          </w:p>
        </w:tc>
        <w:tc>
          <w:tcPr>
            <w:tcW w:w="24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Reported net income</w:t>
            </w:r>
          </w:p>
        </w:tc>
        <w:tc>
          <w:tcPr>
            <w:tcW w:w="112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0.42</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0.32</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 amortization</w:t>
            </w:r>
          </w:p>
        </w:tc>
        <w:tc>
          <w:tcPr>
            <w:tcW w:w="11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0.01</w:t>
            </w:r>
          </w:p>
        </w:tc>
        <w:tc>
          <w:tcPr>
            <w:tcW w:w="4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3080" w:type="dxa"/>
            <w:vAlign w:val="bottom"/>
          </w:tcPr>
          <w:p>
            <w:pPr>
              <w:spacing w:after="0"/>
              <w:rPr>
                <w:sz w:val="14"/>
                <w:szCs w:val="14"/>
                <w:color w:val="auto"/>
              </w:rPr>
            </w:pPr>
          </w:p>
        </w:tc>
        <w:tc>
          <w:tcPr>
            <w:tcW w:w="24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Adjusted net income</w:t>
            </w:r>
          </w:p>
        </w:tc>
        <w:tc>
          <w:tcPr>
            <w:tcW w:w="112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0.42</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0.33</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0.68</w:t>
            </w:r>
          </w:p>
        </w:tc>
      </w:tr>
      <w:tr>
        <w:trPr>
          <w:trHeight w:val="168"/>
        </w:trPr>
        <w:tc>
          <w:tcPr>
            <w:tcW w:w="3080" w:type="dxa"/>
            <w:vAlign w:val="bottom"/>
          </w:tcPr>
          <w:p>
            <w:pPr>
              <w:spacing w:after="0"/>
              <w:rPr>
                <w:sz w:val="14"/>
                <w:szCs w:val="14"/>
                <w:color w:val="auto"/>
              </w:rPr>
            </w:pPr>
          </w:p>
        </w:tc>
        <w:tc>
          <w:tcPr>
            <w:tcW w:w="24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w:t>
            </w:r>
          </w:p>
        </w:tc>
        <w:tc>
          <w:tcPr>
            <w:tcW w:w="16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5"/>
          <w:szCs w:val="15"/>
          <w:color w:val="auto"/>
        </w:rPr>
        <w:t>In addition to the goodwill balance in the accompanying Condensed Consolidated Balance Sheets as of December 31 and March 31, 2001, equity method goodwill of $2.9 million is included in Other assets and is related to the Company's acquisition of a 50% equity interest in PAFCO, L.L.C., an aviation joint venture ("PAFCO"), during the fourth quarter of fiscal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20"/>
        <w:spacing w:after="0" w:line="254" w:lineRule="auto"/>
        <w:rPr>
          <w:sz w:val="20"/>
          <w:szCs w:val="20"/>
          <w:color w:val="auto"/>
        </w:rPr>
      </w:pPr>
      <w:r>
        <w:rPr>
          <w:rFonts w:ascii="Courier New" w:cs="Courier New" w:eastAsia="Courier New" w:hAnsi="Courier New"/>
          <w:sz w:val="14"/>
          <w:szCs w:val="14"/>
          <w:color w:val="auto"/>
        </w:rPr>
        <w:t>In October 2001, the Financial Accounting Standards Board issued SFAS No. 144, "Accounting for the Impairment or Disposal of Long-Lived Assets." SFAS No. 144 addresses financial accounting and reporting for the impairment or disposal of long-lived assets, excluding goodwill. SFAS No. 144 will be effective for the Company's fiscal year ending March 31, 2003. The Company will adopt SFAS No.</w:t>
      </w:r>
    </w:p>
    <w:p>
      <w:pPr>
        <w:spacing w:after="0" w:line="2" w:lineRule="exact"/>
        <w:rPr>
          <w:sz w:val="20"/>
          <w:szCs w:val="20"/>
          <w:color w:val="auto"/>
        </w:rPr>
      </w:pPr>
    </w:p>
    <w:p>
      <w:pPr>
        <w:ind w:right="3320"/>
        <w:spacing w:after="0" w:line="235" w:lineRule="auto"/>
        <w:rPr>
          <w:sz w:val="20"/>
          <w:szCs w:val="20"/>
          <w:color w:val="auto"/>
        </w:rPr>
      </w:pPr>
      <w:r>
        <w:rPr>
          <w:rFonts w:ascii="Courier New" w:cs="Courier New" w:eastAsia="Courier New" w:hAnsi="Courier New"/>
          <w:sz w:val="15"/>
          <w:szCs w:val="15"/>
          <w:color w:val="auto"/>
        </w:rPr>
        <w:t>144, effective April 1, 2002, as required. The Company does not believe that the implementation of SFAS No. 144 will have a material effect on the Company's 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40"/>
          </w:cols>
          <w:pgMar w:left="220" w:top="617" w:right="1439" w:bottom="1440" w:gutter="0" w:footer="0" w:header="0"/>
        </w:sectPr>
      </w:pPr>
    </w:p>
    <w:bookmarkStart w:id="8" w:name="page9"/>
    <w:bookmarkEnd w:id="8"/>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FACILITY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December 2001, the Company replaced its existing credit facility under more favorable terms while maintaining the same credit limit of $30 million and sublimit of $15 million for letters of credit. The agreement for the new credit facility (the "Credit Agreement") is filed as Exhibit 10(b) of this Form 10-Q. Approximately $11.2 million in letters of credit were outstanding under the Credit Agreement as of December 31, 2001. Any outstanding principal and interest on the Credit Agreement matures on December 7, 2004. The revolving credit facility bears interest at market rates, as defined under the Credit Agreement. Interest is payable quarterly in arrears. The Credit Agreement imposes certain operating and financial restrictions on the Company, including restrictions on the payment of dividends in excess of specified amounts. See Section 11 of the Credit Agreement. The Company's failure to comply with its obligations under the revolving Credit Agreement, including meeting certain financial ratios, could result in an event of default. An event of default, if not cured or waived, would permit acceleration of any outstanding indebtedness under the Credit Agreement, and impair the Company's ability to receive advances. There were no outstanding principal balances on the Credit Agreement as of December 31, 2001. As of December 31, 2001, the Company was in compliance with the operating and financial requirements under the credit facility.</w:t>
      </w:r>
    </w:p>
    <w:p>
      <w:pPr>
        <w:spacing w:after="0" w:line="337"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October 2001, the employment agreement for the Chief Executive Officer of the Company's marine fuel services segment was amended and restated. The amended and restated employment agreement will expire on March 31, 2005 and its principal terms are as follows: (1) a minimum base salary of approximately $438 thousand;</w:t>
      </w:r>
    </w:p>
    <w:p>
      <w:pPr>
        <w:spacing w:after="0" w:line="1" w:lineRule="exact"/>
        <w:rPr>
          <w:sz w:val="20"/>
          <w:szCs w:val="20"/>
          <w:color w:val="auto"/>
        </w:rPr>
      </w:pPr>
    </w:p>
    <w:p>
      <w:pPr>
        <w:ind w:right="3239" w:firstLine="10"/>
        <w:spacing w:after="0" w:line="255" w:lineRule="auto"/>
        <w:tabs>
          <w:tab w:leader="none" w:pos="3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bonus for the period from January 1, 2001 through December 31, 2001 based on the bonus formula in the executive's previous employment agreement; (3) effective January 1, 2002, a bonus calculated as a percent of the executive's base salary based on the Company's basic earnings per share growth, as specified in the employment agreement, and as adjusted by the Compensation Committee of the Company's Board of Directors; (4) the grant of 25,000 shares of restricted common stock of the Company, which shall vest 25% equally on October 1, 2002, 2003, 2004, and March 31, 2005, subject to certain acceleration provisions, as specified in the employment agreement; (5) an award of stock options to purchase 55,000 shares of the Company's common stock, with an exercise price of $11.90 per share, of which 25,791 shares will vest in two years and the remaining shares will vest over three years, subject to certain acceleration provisions, as specified in the employment agreement; and (6) severance benefits payable upon a termination for certain reasons specified in the employment agreement. The foregoing summary is qualified by reference to the employment agreement, which is filed as Exhibit 10(a) of this Form 10-Q.</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Based on the market value of the Company's common stock on the date of grant, the restricted stock was valued at approximately $298 thousand. The fair value of the restricted stock was recorded as unearned deferred compensation and is being amortized over the minimum vesting period. For the three months and nine months ended December 31, 2001, amortization of deferred compensation of approximately $39 thousand was recognized related to this restricted stock. As of December 31, 2001, the remaining unearned deferred compensation was approximately $259 thousand, and is included in Capital in excess of par value.</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617" w:right="1440" w:bottom="1440" w:gutter="0" w:footer="0" w:header="0"/>
        </w:sectPr>
      </w:pPr>
    </w:p>
    <w:bookmarkStart w:id="9" w:name="page10"/>
    <w:bookmarkEnd w:id="9"/>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OPTION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January 30, 2002, as permitted under the 2001 Omnibus Plan (the "Plan"), the Company's Board of Directors (the "Board") authorized an increase to the maximum number of shares of the Company's stock that may be delivered to participants of the Plan. The increase relates to shares of the Company's stock which are reacquired by the Company in the open market or in private transactions since the effective date of the Plan in August 2001. As of December 31, 2001, the Company had repurchased approximately 133,000 shares since the Plan's effective date, and accordingly increased the maximum number of shares of the Company's stock that may be delivered to participants of the Plan by the same number of shares. On the same date, the Board also amended all of the Company's employee stock option plans to permit option holders to pay for the exercise price of options with existing common stock held freely by the optionee for at least six months.</w:t>
      </w:r>
    </w:p>
    <w:p>
      <w:pPr>
        <w:spacing w:after="0" w:line="335"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July 2001, the Company received a Summary Judgment from the United States District Court for the Southern District of Florida which ordered Donald F. Moorehead, Jr., Chairman of EarthCare Company ("EarthCare") to pay the Company compensatory damages of approximately $5.0 million, plus interest from May 1, 2001. This judgment relates to Mr. Moorehead's default on his agreement to purchase all of the shares of EarthCare stock owned by the Company for approximately $5.0 million. The Company received the EarthCare stock as part payment for the sale of the Company's oil recycling operations in February 2000. As of March 31, 2001, a contract receivable for approximately $5.0 million is included in Prepaid expenses and other current assets in the accompanying Condensed Consolidated Balance Sheets. Since March 31, 2001, the Company received principal and interest payments totaling $700 thousand from Mr. Moorehead. As of December 31, 2001, the balance due from Mr. Moorehead, excluding interest, was approximately $4.3 million and is included in Prepaid expenses and other current assets in the accompanying Condensed Consolidated Balance Sheets. The Company continues to vigorously pursue collection of its judgment, and currently is seeking to have a receiver appointed by the court to administer Mr. Moorehead's assets and to sell those assets. The Company believes that it will recover the remaining amount of the receivable. For additional information regarding this proceeding, refer to Part II, Item 1 (Legal Proceedings) of this Form 10-Q.</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also involved in other legal and administrative proceedings primarily arising in the normal course of its business. In the opinion of management, except as set forth in the Company's Annual Report on Form 10-K for the year ended March 31, 2001, or the quarterly reports on Form 10-Q for the periods ended September 30, 2001 and June 30, 2001, the Company's liability, if any, under any such legal or administrative proceedings, is not expected to materially affect its financial condition or results of operations. See Part II, Item 1 (Legal Proceedings) of this Form 10-Q.</w:t>
      </w:r>
    </w:p>
    <w:p>
      <w:pPr>
        <w:spacing w:after="0" w:line="339"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There were no significant items of other comprehensive income, and thus, net income is equal to comprehensive income for all periods presented.</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39"/>
          </w:cols>
          <w:pgMar w:left="220" w:top="617" w:right="1440" w:bottom="1440" w:gutter="0" w:footer="0" w:header="0"/>
        </w:sectPr>
      </w:pPr>
    </w:p>
    <w:bookmarkStart w:id="10" w:name="page11"/>
    <w:bookmarkEnd w:id="10"/>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620"/>
        <w:spacing w:after="0" w:line="236" w:lineRule="auto"/>
        <w:rPr>
          <w:sz w:val="20"/>
          <w:szCs w:val="20"/>
          <w:color w:val="auto"/>
        </w:rPr>
      </w:pPr>
      <w:r>
        <w:rPr>
          <w:rFonts w:ascii="Courier New" w:cs="Courier New" w:eastAsia="Courier New" w:hAnsi="Courier New"/>
          <w:sz w:val="15"/>
          <w:szCs w:val="15"/>
          <w:color w:val="auto"/>
        </w:rPr>
        <w:t>Basic earnings per share is computed based on the weighted average number of common shares outstanding. Diluted earnings per share is based on the sum of the weighted average number of common shares outstanding plus non-vested restricted common stock and common stock equivalents, arising out of employee stock options and non-employee stock options and warrants. Shares used to calculate earnings per share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860" w:type="dxa"/>
            <w:vAlign w:val="bottom"/>
          </w:tcPr>
          <w:p>
            <w:pPr>
              <w:spacing w:after="0"/>
              <w:rPr>
                <w:sz w:val="14"/>
                <w:szCs w:val="14"/>
                <w:color w:val="auto"/>
              </w:rPr>
            </w:pPr>
          </w:p>
        </w:tc>
        <w:tc>
          <w:tcPr>
            <w:tcW w:w="2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86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86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10,341</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10,520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stock weighted average shares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equivalents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shares used in the</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calculation of diluted earnings per share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10,520</w:t>
            </w:r>
          </w:p>
        </w:tc>
      </w:tr>
      <w:tr>
        <w:trPr>
          <w:trHeight w:val="168"/>
        </w:trPr>
        <w:tc>
          <w:tcPr>
            <w:tcW w:w="48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Weighted average shares of stock options</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warrants included in the determination</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stock equivalents for the</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calculation of diluted earnings per share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8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Weighted average shares of stock options which are</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 included in the calculation of diluted</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per share because their impact is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antidilutive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48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BUSINESS SEGMENTS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0"/>
        <w:spacing w:after="0" w:line="236" w:lineRule="auto"/>
        <w:rPr>
          <w:sz w:val="20"/>
          <w:szCs w:val="20"/>
          <w:color w:val="auto"/>
        </w:rPr>
      </w:pPr>
      <w:r>
        <w:rPr>
          <w:rFonts w:ascii="Courier New" w:cs="Courier New" w:eastAsia="Courier New" w:hAnsi="Courier New"/>
          <w:sz w:val="15"/>
          <w:szCs w:val="15"/>
          <w:color w:val="auto"/>
        </w:rPr>
        <w:t>The Company markets fuel services and has two reportable operating segments: marine and aviation fuel services. In its marine fuel services business, the Company markets marine fuel and related management services to a broad base of international shipping companies and to the U.S. military. In its aviation fuel services business, the Company markets aviation fuel and other aviation related services to passenger, cargo and charter airlines. The Company also offers flight plans and weather reports to its corporate customers. Services in both business segments include credit terms, 24-hour around-the-world service, fuel management services, and competitively priced fuel.</w:t>
      </w:r>
    </w:p>
    <w:p>
      <w:pPr>
        <w:spacing w:after="0" w:line="178" w:lineRule="exact"/>
        <w:rPr>
          <w:sz w:val="20"/>
          <w:szCs w:val="20"/>
          <w:color w:val="auto"/>
        </w:rPr>
      </w:pPr>
    </w:p>
    <w:p>
      <w:pPr>
        <w:ind w:right="440"/>
        <w:spacing w:after="0" w:line="236" w:lineRule="auto"/>
        <w:rPr>
          <w:sz w:val="20"/>
          <w:szCs w:val="20"/>
          <w:color w:val="auto"/>
        </w:rPr>
      </w:pPr>
      <w:r>
        <w:rPr>
          <w:rFonts w:ascii="Courier New" w:cs="Courier New" w:eastAsia="Courier New" w:hAnsi="Courier New"/>
          <w:sz w:val="15"/>
          <w:szCs w:val="15"/>
          <w:color w:val="auto"/>
        </w:rPr>
        <w:t>Performance measurement and resource allocation for the reportable operating segments are based on many factors. One of the primary financial measures used is income from operations. The Company employs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 Ended</w:t>
      </w:r>
    </w:p>
    <w:p>
      <w:pPr>
        <w:ind w:left="44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10,378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10,723</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10,652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10,735</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80" w:hanging="1136"/>
        <w:spacing w:after="0"/>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987</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ectPr>
          <w:pgSz w:w="11900" w:h="16838" w:orient="portrait"/>
          <w:cols w:equalWidth="0" w:num="2">
            <w:col w:w="7360" w:space="340"/>
            <w:col w:w="2539"/>
          </w:cols>
          <w:pgMar w:left="220" w:top="617" w:right="1440" w:bottom="1440" w:gutter="0" w:footer="0" w:header="0"/>
        </w:sectPr>
      </w:pPr>
    </w:p>
    <w:bookmarkStart w:id="11" w:name="page12"/>
    <w:bookmarkEnd w:id="11"/>
    <w:p>
      <w:pPr>
        <w:ind w:right="5140"/>
        <w:spacing w:after="0" w:line="234" w:lineRule="auto"/>
        <w:rPr>
          <w:sz w:val="20"/>
          <w:szCs w:val="20"/>
          <w:color w:val="auto"/>
        </w:rPr>
      </w:pPr>
      <w:r>
        <w:rPr>
          <w:rFonts w:ascii="Courier New" w:cs="Courier New" w:eastAsia="Courier New" w:hAnsi="Courier New"/>
          <w:sz w:val="15"/>
          <w:szCs w:val="15"/>
          <w:color w:val="auto"/>
        </w:rPr>
        <w:t>Information concerning the Company's operations by business segment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Three Months Ended</w:t>
            </w:r>
          </w:p>
        </w:tc>
        <w:tc>
          <w:tcPr>
            <w:tcW w:w="800" w:type="dxa"/>
            <w:vAlign w:val="bottom"/>
          </w:tcPr>
          <w:p>
            <w:pPr>
              <w:spacing w:after="0"/>
              <w:rPr>
                <w:sz w:val="14"/>
                <w:szCs w:val="14"/>
                <w:color w:val="auto"/>
              </w:rPr>
            </w:pP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Nine Months Ended</w:t>
            </w: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4"/>
              </w:rPr>
              <w:t>December 31,</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0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4"/>
              </w:rPr>
              <w:t>2001</w:t>
            </w:r>
          </w:p>
        </w:tc>
        <w:tc>
          <w:tcPr>
            <w:tcW w:w="70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820" w:type="dxa"/>
            <w:vAlign w:val="bottom"/>
          </w:tcPr>
          <w:p>
            <w:pPr>
              <w:spacing w:after="0"/>
              <w:rPr>
                <w:sz w:val="14"/>
                <w:szCs w:val="14"/>
                <w:color w:val="auto"/>
              </w:rPr>
            </w:pPr>
          </w:p>
        </w:tc>
        <w:tc>
          <w:tcPr>
            <w:tcW w:w="14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240,336</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276,916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727,035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769,166</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85,628</w:t>
            </w: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131,651</w:t>
            </w:r>
          </w:p>
        </w:tc>
        <w:tc>
          <w:tcPr>
            <w:tcW w:w="8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286,746</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392,014</w:t>
            </w:r>
          </w:p>
        </w:tc>
      </w:tr>
      <w:tr>
        <w:trPr>
          <w:trHeight w:val="168"/>
        </w:trPr>
        <w:tc>
          <w:tcPr>
            <w:tcW w:w="48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325,964</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408,567</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$ 1,013,781</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$ 1,161,180</w:t>
            </w:r>
          </w:p>
        </w:tc>
      </w:tr>
      <w:tr>
        <w:trPr>
          <w:trHeight w:val="168"/>
        </w:trPr>
        <w:tc>
          <w:tcPr>
            <w:tcW w:w="48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4,298</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11,288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7,730</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3,353</w:t>
            </w: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3,128</w:t>
            </w:r>
          </w:p>
        </w:tc>
        <w:tc>
          <w:tcPr>
            <w:tcW w:w="8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8,950</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8,039</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(2,090)</w:t>
            </w:r>
          </w:p>
        </w:tc>
        <w:tc>
          <w:tcPr>
            <w:tcW w:w="7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(2,411)</w:t>
            </w:r>
          </w:p>
        </w:tc>
        <w:tc>
          <w:tcPr>
            <w:tcW w:w="8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(5,332)</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(9,088)</w:t>
            </w:r>
          </w:p>
        </w:tc>
      </w:tr>
      <w:tr>
        <w:trPr>
          <w:trHeight w:val="168"/>
        </w:trPr>
        <w:tc>
          <w:tcPr>
            <w:tcW w:w="48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5,561</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14,906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6,681</w:t>
            </w:r>
          </w:p>
        </w:tc>
      </w:tr>
      <w:tr>
        <w:trPr>
          <w:trHeight w:val="168"/>
        </w:trPr>
        <w:tc>
          <w:tcPr>
            <w:tcW w:w="48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As of</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2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March 31,</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c>
          <w:tcPr>
            <w:tcW w:w="80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Accounts and notes receivable</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Marine fuel services, net of allowance for bad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debts of $5,139 and $5,157, at December 31</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March 31, 2001, respectively</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67,370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77,898</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Aviation fuel services, net of allowance for bad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debts of $5,862 and $6,010, at December 31</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March 31, 2001, respectively</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28,266</w:t>
            </w:r>
          </w:p>
        </w:tc>
        <w:tc>
          <w:tcPr>
            <w:tcW w:w="8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47,965</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95,636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125,863</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24,359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19,246</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5,352</w:t>
            </w:r>
          </w:p>
        </w:tc>
        <w:tc>
          <w:tcPr>
            <w:tcW w:w="8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5,352</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29,711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24,598</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116,225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113,798</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66,392</w:t>
            </w:r>
          </w:p>
        </w:tc>
        <w:tc>
          <w:tcPr>
            <w:tcW w:w="8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75,830</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Corporate, includes discontinued operations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 $1,750 at March 31, 2001</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27,076</w:t>
            </w:r>
          </w:p>
        </w:tc>
        <w:tc>
          <w:tcPr>
            <w:tcW w:w="8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32,537</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209,693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222,165</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1540"/>
          </w:cols>
          <w:pgMar w:left="220" w:top="624" w:right="139" w:bottom="1440" w:gutter="0" w:footer="0" w:header="0"/>
        </w:sectPr>
      </w:pPr>
    </w:p>
    <w:bookmarkStart w:id="12" w:name="page13"/>
    <w:bookmarkEnd w:id="12"/>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Disclosure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document includes forward-looking statements. The words believes, intends, expects, anticipates, projects, estimates, predicts, and similar expressions are intended to identify forward-looking statements. Such statements, estimates, and projections reflect various assumptions by World Fuel's management concerning anticipated results, and are subject to significant business, economic and competitive risks and contingencies, many of which are beyond management's control. Factors that could cause results to differ include, but are not limited to, quarterly fluctuations in results; the management of growth; fluctuations in world oil prices or foreign currency; major changes in political, economic, regulatory or environmental conditions; the loss of key customers, suppliers or members of senior management; uninsured losses; competition; credit risk associated with accounts, notes and contracts receivable; and other risks detailed in this report and in World Fuel's other Securities and Exchange Commission filings. Actual results may differ materially from any forward-looking statements set forth herein.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Profit from World Fuel's marine fuel services business is determined primarily by the volume and commission rate of brokering business generated and by the volume and gross profit achieved on trade sales, as well as the overall level of operating expenses. Profit from World Fuel's aviation fuel services business is directly related to the volume and the gross profit achieved on sales, as well as the overall level of operating expenses. Operating expenses in both segments may be significantly affected to the extent that World Fuel is required to provision for potential bad debts.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World Fuel's profitability during the comparable three and nine months ended December 31, 2001 was favored by an increase in metric tons traded and brokered in marine, an improvement in the gross profit per gallon sold in aviation, a lower provision for bad debts for both marine and aviation, and lower corporate overhead expenses. The nine months ended December 31, 2001 also did not include the executive severance charge of $3.5 million recorded in the same period of the previous fiscal year. In addition, profitability for the nine months ended December 31, 2001 was favored by the insurance recovery during the first quarter related to the loss of product off the coast of Nigeria. Also contributing to the three and nine months profitability was the gain on the sale of a leasehold property during the third quarter. During the same three and nine months periods, earnings were adversely affected by a decrease in the gross profit per metric ton traded in marine, a decline in aviation sales volume, and increases in salaries and other operating expenses. Also contributing to the nine months variance was a non-recurring credit related to the closure in fiscal 2001 of the aviation joint venture in Ecuador.</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decline in aviation sales volume reflects management's decision to reduce its credit exposure and increase margins. The decrease in aviation sales volume is also related to lower demand resulting from a general slowdown in economic activity. For marine, the decrease in the gross profit per metric ton traded is due to competitive pressures stemming from the current recessionary economic environment, and by the recent acquisitions in the marine segment which resulted in the addition of lower margin trading and brokerage business. World Fuel may experience decreases in future sales volume, in both segments, as a result of the current deterioration in the economy, the military actions in response to the September 11th terrorist attacks, as well as possible future terrorist activity.</w:t>
      </w:r>
    </w:p>
    <w:p>
      <w:pPr>
        <w:spacing w:after="0" w:line="17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39"/>
          </w:cols>
          <w:pgMar w:left="220" w:top="617" w:right="1440" w:bottom="1440" w:gutter="0" w:footer="0" w:header="0"/>
        </w:sectPr>
      </w:pPr>
    </w:p>
    <w:bookmarkStart w:id="13" w:name="page14"/>
    <w:bookmarkEnd w:id="13"/>
    <w:p>
      <w:pPr>
        <w:ind w:right="3239"/>
        <w:spacing w:after="0" w:line="236" w:lineRule="auto"/>
        <w:rPr>
          <w:sz w:val="20"/>
          <w:szCs w:val="20"/>
          <w:color w:val="auto"/>
        </w:rPr>
      </w:pPr>
      <w:r>
        <w:rPr>
          <w:rFonts w:ascii="Courier New" w:cs="Courier New" w:eastAsia="Courier New" w:hAnsi="Courier New"/>
          <w:sz w:val="15"/>
          <w:szCs w:val="15"/>
          <w:color w:val="auto"/>
        </w:rPr>
        <w:t>The increase in expenses is related, in part, to the business initiatives implemented during the latter part of fiscal years 2001 and 2002. These initiatives include the launch of World Fuel's new fuel management and fuel risk management divisions in the aviation segment, as well as increased spending in connection with information technology. Expenses have also increased due to the hiring of additional management personnel and the acquisitions in the marine segment.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2001 Compared to the Three Months Ended</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2000</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World Fuel's revenue for the three months ended December 31, 2001 was $326.0 million, a decrease of $82.6 million, or 20.2%, as compared to revenue of $408.6 million for the corresponding period of the prior year. This decrease is primarily attributed to a sharp decline in fuel prices soon after the September 11th terrorist attacks and lower volume of aviation gallons sold. World Fuel's revenue during these periods was attributable to the following segments:</w:t>
      </w:r>
    </w:p>
    <w:p>
      <w:pPr>
        <w:spacing w:after="0" w:line="328"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04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240,336</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276,916</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85,628</w:t>
            </w:r>
          </w:p>
        </w:tc>
        <w:tc>
          <w:tcPr>
            <w:tcW w:w="6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131,651</w:t>
            </w:r>
          </w:p>
        </w:tc>
      </w:tr>
      <w:tr>
        <w:trPr>
          <w:trHeight w:val="168"/>
        </w:trPr>
        <w:tc>
          <w:tcPr>
            <w:tcW w:w="20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325,964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408,567</w:t>
            </w:r>
          </w:p>
        </w:tc>
      </w:tr>
      <w:tr>
        <w:trPr>
          <w:trHeight w:val="168"/>
        </w:trPr>
        <w:tc>
          <w:tcPr>
            <w:tcW w:w="20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marine fuel services segment contributed $240.3 million in revenue for the three months ended December 31, 2001, a decrease of $36.6 million, or 13.2%, over the corresponding period of the prior year. The decrease in revenue was due to a lower average price per metric ton sold, partially offset by a higher volume of metric tons sold. The increase in volume is attributable to increased sales by World Fuel's existing subsidiaries, as well as the addition of sales from the marine companies acquired in February and April 2001. The aviation fuel services segment contributed $85.6 million in revenue for the three months ended December 31, 2001. This represented a decrease in revenue of $46.0 million, or 35.0%, as compared to the same period of the prior year. The decrease in revenue was due to an 11.9% decrease in the volume of gallons sold and a 26.2% decrease in the average price per gallon sold. The decrease in sales volume reflects management's decision to reduce its credit exposure and increase margins, which began in the third quarter of fiscal 2001. Sales volume also decreased because of a general slowdown in economic activity.</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World Fuel's gross profit of $18.8 million for the three months ended December 31, 2001 increased $740 thousand, or 4.1%, as compared to the same period of the prior year. World Fuel's gross margin increased to 5.8% for the three months ended December 31, 2001 from 4.4% for the same period of the prior year. World Fuel's marine fuel services segment achieved a 4.1% gross margin for the three months ended December 31, 2001, as compared to 3.5% for the same period of the prior year. This gross margin increase resulted from a drop in the average price per metric ton traded, which offset a lower gross profit per metric ton traded. The narrower gross profit per metric ton traded was caused by competitive pressures, and by the recent acquisitions in the marine segment which resulted in the addition of lower margin trading and brokerage business. By integrating these acquisitions into World Fuel's existing global network, World Fuel intends to use better buying practices and value-added services to maximize the gross profit of the newly acquired companies. World Fuel's aviation fuel services business achieved a 10.6% gross margin for the three months ended December 31, 2001, as compared to 6.4% for the same period during the prior year. This increase resulted from an overall increase in the gross profit per gallon sold and the decline in</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39"/>
          </w:cols>
          <w:pgMar w:left="220" w:top="624" w:right="1440" w:bottom="1440" w:gutter="0" w:footer="0" w:header="0"/>
        </w:sectPr>
      </w:pPr>
    </w:p>
    <w:bookmarkStart w:id="14" w:name="page15"/>
    <w:bookmarkEnd w:id="14"/>
    <w:p>
      <w:pPr>
        <w:ind w:right="3499"/>
        <w:spacing w:after="0" w:line="261" w:lineRule="auto"/>
        <w:rPr>
          <w:sz w:val="20"/>
          <w:szCs w:val="20"/>
          <w:color w:val="auto"/>
        </w:rPr>
      </w:pPr>
      <w:r>
        <w:rPr>
          <w:rFonts w:ascii="Courier New" w:cs="Courier New" w:eastAsia="Courier New" w:hAnsi="Courier New"/>
          <w:sz w:val="14"/>
          <w:szCs w:val="14"/>
          <w:color w:val="auto"/>
        </w:rPr>
        <w:t>the average price per gallon sold. The improvement in gross profit per gallon resulted, in part, from a revision in World Fuel's pricing strategy.</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Total operating expenses for the three months ended December 31, 2001 were $13.3 million, a decrease of $79 thousand, or 0.6%, as compared to the same period of the prior year. This decrease resulted from a $287 thousand reduction in the provision for bad debts and the adoption of Statement of Financial Accounting Standards No. 142, "Goodwill and Other Intangible Assets," which eliminated the amortization of goodwill effective April 1, 2001. Partially offsetting these improvements were operating expenses of the newly acquired companies, staff additions, and various business initiatives implemented over the past year.</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World Fuel's income from operations for the three months ended December 31, 2001 was $5.6 million, an increase of $819 thousand, as compared to $4.7 million for the same period of the prior year. Income from operations during these periods was attributable to the following segments:</w:t>
      </w:r>
    </w:p>
    <w:p>
      <w:pPr>
        <w:spacing w:after="0" w:line="33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Three</w:t>
            </w: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Months Ended December 31,</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480" w:type="dxa"/>
            <w:vAlign w:val="bottom"/>
          </w:tcPr>
          <w:p>
            <w:pPr>
              <w:spacing w:after="0"/>
              <w:rPr>
                <w:sz w:val="14"/>
                <w:szCs w:val="14"/>
                <w:color w:val="auto"/>
              </w:rPr>
            </w:pP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4,025</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3,353</w:t>
            </w:r>
          </w:p>
        </w:tc>
        <w:tc>
          <w:tcPr>
            <w:tcW w:w="5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3,128</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(2,090)</w:t>
            </w:r>
          </w:p>
        </w:tc>
        <w:tc>
          <w:tcPr>
            <w:tcW w:w="5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(2,411)</w:t>
            </w:r>
          </w:p>
        </w:tc>
      </w:tr>
      <w:tr>
        <w:trPr>
          <w:trHeight w:val="168"/>
        </w:trPr>
        <w:tc>
          <w:tcPr>
            <w:tcW w:w="248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Income from Operations</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5,561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4,742</w:t>
            </w:r>
          </w:p>
        </w:tc>
      </w:tr>
      <w:tr>
        <w:trPr>
          <w:trHeight w:val="168"/>
        </w:trPr>
        <w:tc>
          <w:tcPr>
            <w:tcW w:w="2480" w:type="dxa"/>
            <w:vAlign w:val="bottom"/>
          </w:tcPr>
          <w:p>
            <w:pPr>
              <w:spacing w:after="0"/>
              <w:rPr>
                <w:sz w:val="14"/>
                <w:szCs w:val="14"/>
                <w:color w:val="auto"/>
              </w:rPr>
            </w:pPr>
          </w:p>
        </w:tc>
        <w:tc>
          <w:tcPr>
            <w:tcW w:w="1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marine fuel services segment earned $4.3 million in income from operations for the three months ended December 31, 2001, an increase of $273 thousand, or 6.8%, over the corresponding period of the prior year. This increase resulted primarily from a decrease in compensation. The aviation fuel services segment's income from operations was $3.4 million for the three months ended December 31, 2001, an increase of $225 thousand, or 7.2%, as compared to the same period of the prior year. This improvement is due to a higher gross profit and lower provision for bad debts, partially offset by increased compensation and other operating expenses as a result of staff additions and various business initiatives which were implemented over the past year. The decrease in corporate overhead is due to lower consulting and telecommunications expenses.</w:t>
      </w:r>
    </w:p>
    <w:p>
      <w:pPr>
        <w:spacing w:after="0" w:line="16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During the three months ended December 31, 2001, Other income, net, was $579 thousand, a decrease of $129 thousand, compared to $708 thousand for the corresponding period of the prior year. This decrease is mainly due to foreign exchange losses for the three months ended December 31, 2001 as opposed to foreign exchange gains in the same period of the prior year. Partially offsetting were the equity in earnings of the PAFCO aviation joint venture, an increase in interest income, and a gain on the sale of a leasehold property.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Fuel's effective tax rate for the three months ended December 31, 2001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 resulting in an income tax provision of $1.7 million, as compared to</w:t>
      </w:r>
    </w:p>
    <w:p>
      <w:pPr>
        <w:spacing w:after="0" w:line="237" w:lineRule="auto"/>
        <w:rPr>
          <w:sz w:val="20"/>
          <w:szCs w:val="20"/>
          <w:color w:val="auto"/>
        </w:rPr>
      </w:pPr>
      <w:r>
        <w:rPr>
          <w:rFonts w:ascii="Courier New" w:cs="Courier New" w:eastAsia="Courier New" w:hAnsi="Courier New"/>
          <w:sz w:val="15"/>
          <w:szCs w:val="15"/>
          <w:color w:val="auto"/>
        </w:rPr>
        <w:t>28.2% and $1.5 million for the same quarter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from continuing operations for the three months ended December 31,</w:t>
      </w:r>
    </w:p>
    <w:p>
      <w:pPr>
        <w:spacing w:after="0" w:line="237" w:lineRule="auto"/>
        <w:rPr>
          <w:sz w:val="20"/>
          <w:szCs w:val="20"/>
          <w:color w:val="auto"/>
        </w:rPr>
      </w:pPr>
      <w:r>
        <w:rPr>
          <w:rFonts w:ascii="Courier New" w:cs="Courier New" w:eastAsia="Courier New" w:hAnsi="Courier New"/>
          <w:sz w:val="15"/>
          <w:szCs w:val="15"/>
          <w:color w:val="auto"/>
        </w:rPr>
        <w:t>2001 was $4.5 million, an increase of $561 thousand as compared to net income</w:t>
      </w:r>
    </w:p>
    <w:p>
      <w:pPr>
        <w:spacing w:after="0" w:line="238" w:lineRule="auto"/>
        <w:rPr>
          <w:sz w:val="20"/>
          <w:szCs w:val="20"/>
          <w:color w:val="auto"/>
        </w:rPr>
      </w:pPr>
      <w:r>
        <w:rPr>
          <w:rFonts w:ascii="Courier New" w:cs="Courier New" w:eastAsia="Courier New" w:hAnsi="Courier New"/>
          <w:sz w:val="15"/>
          <w:szCs w:val="15"/>
          <w:color w:val="auto"/>
        </w:rPr>
        <w:t>from continuing operations of $3.9 million for the same period of the prior</w:t>
      </w:r>
    </w:p>
    <w:p>
      <w:pPr>
        <w:spacing w:after="0" w:line="237" w:lineRule="auto"/>
        <w:tabs>
          <w:tab w:leader="none" w:pos="600" w:val="left"/>
        </w:tabs>
        <w:rPr>
          <w:sz w:val="20"/>
          <w:szCs w:val="20"/>
          <w:color w:val="auto"/>
        </w:rPr>
      </w:pPr>
      <w:r>
        <w:rPr>
          <w:rFonts w:ascii="Courier New" w:cs="Courier New" w:eastAsia="Courier New" w:hAnsi="Courier New"/>
          <w:sz w:val="15"/>
          <w:szCs w:val="15"/>
          <w:color w:val="auto"/>
        </w:rPr>
        <w:t>year.</w:t>
        <w:tab/>
        <w:t>Diluted earnings per share on income from continuing operations was</w:t>
      </w:r>
    </w:p>
    <w:p>
      <w:pPr>
        <w:spacing w:after="0" w:line="238" w:lineRule="auto"/>
        <w:rPr>
          <w:sz w:val="20"/>
          <w:szCs w:val="20"/>
          <w:color w:val="auto"/>
        </w:rPr>
      </w:pPr>
      <w:r>
        <w:rPr>
          <w:rFonts w:ascii="Courier New" w:cs="Courier New" w:eastAsia="Courier New" w:hAnsi="Courier New"/>
          <w:sz w:val="15"/>
          <w:szCs w:val="15"/>
          <w:color w:val="auto"/>
        </w:rPr>
        <w:t>$0.42, an increase of $0.05 as compared to the same period of the prior year.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39"/>
          </w:cols>
          <w:pgMar w:left="220" w:top="624"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During the three months ended December 31, 2000, the Company recorded additional income taxes of $496 thousand in discontinued operations related to the gain on sale of the oil recycling segment. Such additional taxes were recorded based on the actual fiscal 2000 income tax returns filed. The net loss from discontinued operations for the three months ended December 31, 2000 was $496 thousand, or $0.05 per share. No expenses from discontinued operations were incurred for the three months ended December 31, 2001.</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income for the three months ended December 31, 2001 was $4.5 million, an increase of $1.1 million, as compared to $3.4 million for the same period of the prior year. Diluted earnings per share, including discontinued operations, was $0.42, an increase of $0.10, as compared to $0.32 for the same period of the prior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Nine Months Ended December 31, 2001 Compared to the Nine Months Ended</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2000</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World Fuel's revenue for the nine months ended December 31, 2001 was $1.01 billion, a decrease of $147.4 million, or 12.7%, as compared to revenue of $1.16 billion for the corresponding period of the prior year. This decrease is primarily attributed to a decline in fuel prices and a decrease in sales volume for the aviation fuel services segment. World Fuel's revenue during these periods was attributable to the following segments:</w:t>
      </w:r>
    </w:p>
    <w:p>
      <w:pPr>
        <w:spacing w:after="0" w:line="33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8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Nine Months Ended December 31,</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04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727,035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769,166</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3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286,746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392,014</w:t>
            </w:r>
          </w:p>
        </w:tc>
      </w:tr>
      <w:tr>
        <w:trPr>
          <w:trHeight w:val="168"/>
        </w:trPr>
        <w:tc>
          <w:tcPr>
            <w:tcW w:w="20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1,013,781</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$ 1,161,180</w:t>
            </w:r>
          </w:p>
        </w:tc>
      </w:tr>
      <w:tr>
        <w:trPr>
          <w:trHeight w:val="168"/>
        </w:trPr>
        <w:tc>
          <w:tcPr>
            <w:tcW w:w="20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marine fuel services segment contributed $727.0 million in revenue for the nine months ended December 31, 2001, a decrease of $42.1 million, or 5.5%, over the corresponding period of the prior year. The decrease in revenue was due to a lower average price per metric ton sold, partially offset by an increase in the volume of metric tons sold. The aviation fuel services segment contributed $286.7 million in revenue for the nine months ended December 31, 2001, a decrease in revenue of $105.3 million, or 26.9%, as compared to the same period of the prior year. The revenue decline was due to an 18.4% decrease in the volume of gallons sold, and a 12.3% decrease in the average price per gallon sold. The decrease in sales volume reflects management's decision to reduce its credit exposure and increase margins, which began in the third quarter of fiscal 2001. Sales volume also decreased because of a general slowdown in economic activity.</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World Fuel's gross profit of $55.0 million for the nine months ended December 31, 2001 increased $3.2 million, or 6.2%, as compared to the same period of the prior year. World Fuel's gross margin increased to 5.4% for the nine months ended December 31, 2001 from 4.5% for the same period of the prior year. World Fuel's marine fuel services segment achieved a 3.9% gross margin for the nine months ended December 31, 2001, as compared to a 3.5% gross margin for the same period of the prior year. The increase resulted from a drop in the average price per metric ton traded, which offset a lower gross profit per metric ton traded. The narrower gross profit per metric ton traded was caused by competitive pressures, and by the recent acquisitions in the marine segment, as noted in the analysis of the results of the quarter. World Fuel's aviation fuel services business achieved a 9.4% gross margin for the nine months ended December 31, 2001, as compared to 6.3% for the same period during the prior year. This increase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39"/>
          </w:cols>
          <w:pgMar w:left="220" w:top="624" w:right="1440" w:bottom="1440" w:gutter="0" w:footer="0" w:header="0"/>
        </w:sectPr>
      </w:pPr>
    </w:p>
    <w:bookmarkStart w:id="16" w:name="page17"/>
    <w:bookmarkEnd w:id="16"/>
    <w:p>
      <w:pPr>
        <w:jc w:val="both"/>
        <w:ind w:right="3399"/>
        <w:spacing w:after="0" w:line="235" w:lineRule="auto"/>
        <w:rPr>
          <w:sz w:val="20"/>
          <w:szCs w:val="20"/>
          <w:color w:val="auto"/>
        </w:rPr>
      </w:pPr>
      <w:r>
        <w:rPr>
          <w:rFonts w:ascii="Courier New" w:cs="Courier New" w:eastAsia="Courier New" w:hAnsi="Courier New"/>
          <w:sz w:val="15"/>
          <w:szCs w:val="15"/>
          <w:color w:val="auto"/>
        </w:rPr>
        <w:t>resulted from a higher gross profit per gallon sold and a lower average price per gallon sold. The improvement in gross profit per gallon resulted, in part, from a revision in World Fuel's pricing strategy.</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Total operating expenses for the nine months ended December 31, 2001 were $40.1 million, a decrease of $5.0 million, or 11.1%, as compared to the same period of the prior year. This decrease resulted from a $4.5 million decrease in the provision for bad debts, a $3.5 million executive severance charge in the prior year, and the adoption of Statement of Financial Accounting Standards No. 142, "Goodwill and Other Intangible Assets," which eliminated the amortization of goodwill effective April 1, 2001. Partially offsetting this improvement were operating expenses of the newly acquired companies, staff additions, and various business initiatives implemented over the past year.</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World Fuel's income from operations for the nine months ended December 31, 2001 was $14.9 million, an increase of $8.2 million, or 123.1%, as compared to the same period of the prior year. Income from operations during these periods was attributable to the following segments:</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December 31,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680" w:type="dxa"/>
            <w:vAlign w:val="bottom"/>
          </w:tcPr>
          <w:p>
            <w:pPr>
              <w:spacing w:after="0"/>
              <w:rPr>
                <w:sz w:val="14"/>
                <w:szCs w:val="14"/>
                <w:color w:val="auto"/>
              </w:rPr>
            </w:pPr>
          </w:p>
        </w:tc>
        <w:tc>
          <w:tcPr>
            <w:tcW w:w="15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11,288</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7,730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4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8,950</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8,039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(5,332)</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(9,088)</w:t>
            </w:r>
          </w:p>
        </w:tc>
      </w:tr>
      <w:tr>
        <w:trPr>
          <w:trHeight w:val="168"/>
        </w:trPr>
        <w:tc>
          <w:tcPr>
            <w:tcW w:w="268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Income from Operations</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14,906</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6,681</w:t>
            </w:r>
          </w:p>
        </w:tc>
      </w:tr>
      <w:tr>
        <w:trPr>
          <w:trHeight w:val="168"/>
        </w:trPr>
        <w:tc>
          <w:tcPr>
            <w:tcW w:w="268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marine fuel services segment earned $11.3 million in income from operations for the nine months ended December 31, 2001, an increase of $3.6 million, or</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46.0%, over the corresponding period of the prior year. This increase resulted from a $3.8 million lower provision for bad debts and a higher gross profit, partially offset by operating expenses of the newly acquired companies and staff additions. The aviation fuel services segment's income from operations was $9.0 million for the nine months ended December 31, 2001, an increase of $911 thousand, or 11.3%, as compared to the same period of the prior year. This improvement is due to a higher gross profit and lower provision for bad debts, partially offset by increased operating expenses related to staff additions and various business initiatives which were implemented over the past year. The improvement in corporate overhead is due to the $3.5 million executive severance charge incurred in the second quarter of the prior year and lower consulting and telecommunications expenses, partially offset by staff additions and higher compensation.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nine months ended December 31, 2001, Other income, net, was $1.8 million, a decrease of $234 thousand, or 11.3%, as compared to the nine months ended December 31, 2000. This decrease is mainly due to foreign exchange losses for the nine months ended December 31, 2001 as opposed to foreign exchange gains in the same period of the prior year, and a non-recurring credit recorded last year relating to the closure of the aviation joint venture in Ecuador. Largely offsetting were the equity in earnings of the PAFCO aviation joint venture, an increase in interest income, a gain on the sale of a leasehold property, and the insurance settlement recovery relating to the loss of product off the coast of Nigeria.</w:t>
      </w:r>
    </w:p>
    <w:p>
      <w:pPr>
        <w:spacing w:after="0" w:line="179"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For the nine months ended December 31, 2001, our effective tax rate was 23.8%, for an income tax provision of $4.0 million, as compared to a tax rate of 15.7% and an income tax provision of $1.4 million for the same period a year ago.</w:t>
      </w:r>
    </w:p>
    <w:p>
      <w:pPr>
        <w:spacing w:after="0" w:line="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Income taxes for the nine months ended December 31, 2000 reflect the impact of the executive severance and the provision for bad debts, for which World Fuel received an income tax benefit.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39"/>
          </w:cols>
          <w:pgMar w:left="220" w:top="624" w:right="1440" w:bottom="1440" w:gutter="0" w:footer="0" w:header="0"/>
        </w:sectPr>
      </w:pPr>
    </w:p>
    <w:bookmarkStart w:id="17" w:name="page18"/>
    <w:bookmarkEnd w:id="17"/>
    <w:p>
      <w:pPr>
        <w:ind w:right="3239"/>
        <w:spacing w:after="0" w:line="236" w:lineRule="auto"/>
        <w:rPr>
          <w:sz w:val="20"/>
          <w:szCs w:val="20"/>
          <w:color w:val="auto"/>
        </w:rPr>
      </w:pPr>
      <w:r>
        <w:rPr>
          <w:rFonts w:ascii="Courier New" w:cs="Courier New" w:eastAsia="Courier New" w:hAnsi="Courier New"/>
          <w:sz w:val="15"/>
          <w:szCs w:val="15"/>
          <w:color w:val="auto"/>
        </w:rPr>
        <w:t>Net income from continuing operations for the nine months ended December 31, 2001 was $12.8 million, an increase of $5.4 million from the same period of the prior year. Diluted earnings per share on income from continuing operations was $1.20, an increase of $0.51, or 73.9% from the same period of the prior year. Net loss from discontinued operations for the nine months ended December 31, 2000 was $496 thousand, or $0.05 per diluted share. No expenses from discontinued operations were incurred for the three months ended December 31, 2001.</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Net income for the nine months ended December 31, 2001 was $12.8 million, an increase of $5.9 million, or 85.5%, as compared to the same period of the prior year. Diluted earnings per share was $1.20, an increase of $0.56, or 87.5%, as compared to the same period of the prior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Cash and cash equivalents amounted to $56.2 million at December 31, 2001, as compared to $39.0 million at March 31, 2001. For the nine months ended December 31, 2001, cash provided by operations was $23.4 million, plus approximately $1.8 million each from stock options exercised and discontinued operations. The principal uses of cash were $3.1 million for an acquisition in the marine segment, $1.5 million for the repayment of debt, $3.1 million in dividends, $1.3 million for the repurchase of the Company's stock, and $978 thousand in capital purchases. Components of changes in cash and cash equivalents, for the nine months ended December 31, 2001 and 2000, are detailed in the Condensed Consolidated Statements of Cash Flows. In connection with the January 2002 acquisition in the marine segment, the Company paid cash of approximately $5.4 million plus working capital funding of approximately $2.0 million in January 2002.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Working capital as of December 31, 2001 was $80.7 million, representing an increase of $4.9 million from working capital as of March 31, 2001. As of December 31, 2001, World Fuel's accounts and notes receivable, excluding the allowance for bad debts, amounted to $106.6 million, a decrease of $30.4 million, as compared to the balance at March 31, 2001. This decrease is mostly related to the decline in fuel prices. The allowance for bad debts as of December 31, 2001 amounted to $11.0 million as compared to $11.2 million at March 31, 2001. During the nine months ended December 31, 2001, World Fuel charged $3.2 million to the provision for bad debts and had charge-offs in excess of recoveries of $3.4 million.</w:t>
      </w:r>
    </w:p>
    <w:p>
      <w:pPr>
        <w:spacing w:after="0" w:line="17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Prepaid expenses and other current assets decreased $2.0 million, due to the settlement payment received by World Fuel from EarthCare in April 2001 related to the sale of the recycling operations, and a decrease in prepaid fuel in the aviation fuel services segment. Partially offsetting was an increase in deferred income tax assets and the equity in earnings in the PAFCO aviation joint venture.</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Capital expenditures for the nine months ended December 31, 2001 consisted primarily of computer equipment purchases and computer software development costs. Goodwill increased by $5.1 million during the nine months ended December 31, 2001, to $29.7 million, due to the marine acquisition consummated in April 2001. As a result of the January 2002 acquisition in the marine segment, the Company anticipates recording approximately $6.0 million in intangible assets.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aggregate, accounts payable, accrued expenses and other current liabilities decreased $23.1 million. Short-term debt and long-term liabilities, in the aggregate, increased by $674 thousand as a result of the marine segment's April 2001 acquisition, partially offset by the second installment paid on the Bunkerfuels acquisition.</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39"/>
          </w:cols>
          <w:pgMar w:left="220" w:top="624" w:right="1440" w:bottom="1440" w:gutter="0" w:footer="0" w:header="0"/>
        </w:sectPr>
      </w:pPr>
    </w:p>
    <w:bookmarkStart w:id="18" w:name="page19"/>
    <w:bookmarkEnd w:id="18"/>
    <w:p>
      <w:pPr>
        <w:ind w:right="3239"/>
        <w:spacing w:after="0" w:line="255" w:lineRule="auto"/>
        <w:rPr>
          <w:sz w:val="20"/>
          <w:szCs w:val="20"/>
          <w:color w:val="auto"/>
        </w:rPr>
      </w:pPr>
      <w:r>
        <w:rPr>
          <w:rFonts w:ascii="Courier New" w:cs="Courier New" w:eastAsia="Courier New" w:hAnsi="Courier New"/>
          <w:sz w:val="14"/>
          <w:szCs w:val="14"/>
          <w:color w:val="auto"/>
        </w:rPr>
        <w:t>Stockholders' equity amounted to $113.8 million, or $10.88 in book value per share at December 31, 2001, compared to $103.9 million, or $9.98 in book value per share at March 31, 2001. The $9.9 million increase in stockholders' equity was due to $12.8 million in earnings and $1.8 million received from the exercise of stock options, partially offset by the declaration of dividends of $3.4 million and $1.3 million for the repurchase of the Company's stock.</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World Fuel expects to meet its working capital and capital expenditure requirements from existing cash, operations and additional borrowings, as necessary, under its existing revolving credit facility. World Fuel's business has been, and will continue to be, affected by fluctuations in fuel prices.</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World Fuel offers swaps and caps to customers in its marine and aviation businesses, as part of its fuel management services. World Fuel simultaneously enters into a commodity based derivative instrument with its customer and a counter-party. The counter-parties are major oil companies and derivative trading firms. Accordingly, World Fuel does not anticipate non-performance by such counter-parties. Pursuant to these transactions, World Fuel is not affected by market price fluctuations since the contracts have the same terms and conditions except for the fee or spread earned by World Fuel. Performance risk under these contracts is considered a credit risk. This risk is minimized by additional credit criteria established for these customers. As of December 31, 2001, World Fuel held eleven outstanding swap contracts for approximately 16 thousand metric tons, expiring monthly through March 31, 2002, and eight outstanding swap contracts for approximately 5.3 million gallons, expiring monthly through April 30, 2002.</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Company's policy is to not use derivative financial instruments for speculative purposes.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PART II. OTHER INFORMATION</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July 2001, World Fuel received a Summary Judgment from the United States District Court for the Southern District of Florida which ordered Donald F. Moorehead, Jr., Chairman of EarthCare Company ("EarthCare") to pay World Fuel compensatory damages of approximately $5.0 million, plus interest from May 1, 2001. This judgment relates to Mr. Moorehead's default on his agreement to purchase all of the shares of EarthCare stock owned by World Fuel for approximately $5.0 million. World Fuel received the EarthCare stock as part payment for the sale of World Fuel's oil recycling operations in February 2000. As of March 31, 2001, a contract receivable for approximately $5.0 million is included in Prepaid expenses and other current assets in the accompanying Condensed Consolidated Balance Sheets. Since March 31, 2001, World Fuel received principal and interest payments totaling $700 thousand from Mr. Moorehead. As of December 31, 2001, the balance due from Mr. Moorehead, excluding interest, was approximately $4.3 million and is included in Prepaid expenses and other current assets in the accompanying Condensed Consolidated Balance Sheets. World Fuel continues to vigorously pursue collection of its judgment and currently is seeking to have a receiver appointed by the court to administer Mr. Moorehead's assets and to sell these assets. Although World Fuel believes that it will recover the remaining amount of the debt, our ability to recover the full amount remains subject to customary collection risks, including the risk that Mr. Moorhead may file for personal bankruptcy, and that his saleable assets will not produce sufficient sales proceeds to satisfy the debt.</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39"/>
          </w:cols>
          <w:pgMar w:left="220" w:top="624" w:right="1440" w:bottom="1440" w:gutter="0" w:footer="0" w:header="0"/>
        </w:sectPr>
      </w:pPr>
    </w:p>
    <w:bookmarkStart w:id="19" w:name="page20"/>
    <w:bookmarkEnd w:id="19"/>
    <w:p>
      <w:pPr>
        <w:ind w:right="3399"/>
        <w:spacing w:after="0" w:line="255" w:lineRule="auto"/>
        <w:rPr>
          <w:sz w:val="20"/>
          <w:szCs w:val="20"/>
          <w:color w:val="auto"/>
        </w:rPr>
      </w:pPr>
      <w:r>
        <w:rPr>
          <w:rFonts w:ascii="Courier New" w:cs="Courier New" w:eastAsia="Courier New" w:hAnsi="Courier New"/>
          <w:sz w:val="14"/>
          <w:szCs w:val="14"/>
          <w:color w:val="auto"/>
        </w:rPr>
        <w:t>World Fuel is also involved in other legal and administrative proceedings primarily arising in the normal course of its business. In the opinion of management, except as set forth in World Fuel's Annual Report on Form 10-K for the year ended March 31, 2001, or the quarterly reports on Form 10-Q for the periods ended September 30, 2001 and June 30, 2001, World Fuel's liability, if any, under any such legal or administrative proceedings, is not expected to materially affect its financial condition or results of operations.</w:t>
      </w:r>
    </w:p>
    <w:p>
      <w:pPr>
        <w:spacing w:after="0" w:line="32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 AND USE OF PROCEEDS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00" w:right="3399" w:hanging="790"/>
        <w:spacing w:after="0" w:line="234" w:lineRule="auto"/>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 set forth in the following index of exhibits are filed as part of this report:</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NO.</w:t>
      </w:r>
      <w:r>
        <w:rPr>
          <w:rFonts w:ascii="Courier New" w:cs="Courier New" w:eastAsia="Courier New" w:hAnsi="Courier New"/>
          <w:sz w:val="14"/>
          <w:szCs w:val="14"/>
          <w:color w:val="auto"/>
        </w:rPr>
        <w:t>DESCRIPTION</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6" w:lineRule="exact"/>
        <w:rPr>
          <w:rFonts w:ascii="Courier New" w:cs="Courier New" w:eastAsia="Courier New" w:hAnsi="Courier New"/>
          <w:sz w:val="15"/>
          <w:szCs w:val="15"/>
          <w:color w:val="auto"/>
        </w:rPr>
      </w:pPr>
    </w:p>
    <w:p>
      <w:pPr>
        <w:ind w:left="2200" w:hanging="1141"/>
        <w:spacing w:after="0"/>
        <w:tabs>
          <w:tab w:leader="none" w:pos="220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filed with this Form 10-Q:</w:t>
      </w:r>
    </w:p>
    <w:p>
      <w:pPr>
        <w:spacing w:after="0" w:line="172" w:lineRule="exact"/>
        <w:rPr>
          <w:rFonts w:ascii="Courier New" w:cs="Courier New" w:eastAsia="Courier New" w:hAnsi="Courier New"/>
          <w:sz w:val="15"/>
          <w:szCs w:val="15"/>
          <w:color w:val="auto"/>
        </w:rPr>
      </w:pPr>
    </w:p>
    <w:p>
      <w:pPr>
        <w:ind w:left="2640" w:right="3239" w:hanging="444"/>
        <w:spacing w:after="0" w:line="235" w:lineRule="auto"/>
        <w:tabs>
          <w:tab w:leader="none" w:pos="264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Employment Agreement with Mr. Michael Kasbar, Chief Executive Officer of the Marine Fuel Services Segment, dated October 11, 2001.</w:t>
      </w:r>
    </w:p>
    <w:p>
      <w:pPr>
        <w:spacing w:after="0" w:line="175" w:lineRule="exact"/>
        <w:rPr>
          <w:rFonts w:ascii="Courier New" w:cs="Courier New" w:eastAsia="Courier New" w:hAnsi="Courier New"/>
          <w:sz w:val="15"/>
          <w:szCs w:val="15"/>
          <w:color w:val="auto"/>
        </w:rPr>
      </w:pPr>
    </w:p>
    <w:p>
      <w:pPr>
        <w:ind w:left="2640" w:right="3499" w:hanging="444"/>
        <w:spacing w:after="0" w:line="235" w:lineRule="auto"/>
        <w:tabs>
          <w:tab w:leader="none" w:pos="264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December 7, 2001, between World Fuel Services Corporation and LaSalle Bank National Association.</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During the quarter ended December 31, 2001, World Fuel did not file any reports on Form 8-K.</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39"/>
          </w:cols>
          <w:pgMar w:left="220" w:top="624" w:right="1440" w:bottom="1440" w:gutter="0" w:footer="0" w:header="0"/>
        </w:sectPr>
      </w:pPr>
    </w:p>
    <w:bookmarkStart w:id="20" w:name="page21"/>
    <w:bookmarkEnd w:id="20"/>
    <w:p>
      <w:pPr>
        <w:ind w:left="2980"/>
        <w:spacing w:after="0"/>
        <w:rPr>
          <w:sz w:val="20"/>
          <w:szCs w:val="20"/>
          <w:color w:val="auto"/>
        </w:rPr>
      </w:pPr>
      <w:r>
        <w:rPr>
          <w:rFonts w:ascii="Courier New" w:cs="Courier New" w:eastAsia="Courier New" w:hAnsi="Courier New"/>
          <w:sz w:val="15"/>
          <w:szCs w:val="15"/>
          <w:color w:val="auto"/>
        </w:rPr>
        <w:t>SIGNATURES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5"/>
          <w:szCs w:val="15"/>
          <w:color w:val="auto"/>
        </w:rPr>
        <w:t>DATE: February 6, 2002</w:t>
      </w:r>
      <w:r>
        <w:rPr>
          <w:sz w:val="20"/>
          <w:szCs w:val="20"/>
          <w:color w:val="auto"/>
        </w:rPr>
        <w:tab/>
      </w:r>
      <w:r>
        <w:rPr>
          <w:rFonts w:ascii="Courier New" w:cs="Courier New" w:eastAsia="Courier New" w:hAnsi="Courier New"/>
          <w:sz w:val="14"/>
          <w:szCs w:val="14"/>
          <w:color w:val="auto"/>
        </w:rPr>
        <w:t>WORLD FUEL SERVICES CORPORATION</w:t>
      </w:r>
    </w:p>
    <w:p>
      <w:pPr>
        <w:ind w:left="540"/>
        <w:spacing w:after="0" w:line="237" w:lineRule="auto"/>
        <w:tabs>
          <w:tab w:leader="none" w:pos="2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Paul H. Stebbins.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PAUL H. STEBBINS</w:t>
      </w:r>
    </w:p>
    <w:p>
      <w:pPr>
        <w:ind w:left="2640"/>
        <w:spacing w:after="0" w:line="237" w:lineRule="auto"/>
        <w:rPr>
          <w:sz w:val="20"/>
          <w:szCs w:val="20"/>
          <w:color w:val="auto"/>
        </w:rPr>
      </w:pPr>
      <w:r>
        <w:rPr>
          <w:rFonts w:ascii="Courier New" w:cs="Courier New" w:eastAsia="Courier New" w:hAnsi="Courier New"/>
          <w:sz w:val="15"/>
          <w:szCs w:val="15"/>
          <w:color w:val="auto"/>
        </w:rPr>
        <w:t>PRESIDENT and CHIEF OPERATING OFFICER</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Carlos A. Abaunza</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CARLOS A. ABAUNZA</w:t>
      </w:r>
    </w:p>
    <w:p>
      <w:pPr>
        <w:ind w:left="2640"/>
        <w:spacing w:after="0" w:line="237" w:lineRule="auto"/>
        <w:rPr>
          <w:sz w:val="20"/>
          <w:szCs w:val="20"/>
          <w:color w:val="auto"/>
        </w:rPr>
      </w:pPr>
      <w:r>
        <w:rPr>
          <w:rFonts w:ascii="Courier New" w:cs="Courier New" w:eastAsia="Courier New" w:hAnsi="Courier New"/>
          <w:sz w:val="15"/>
          <w:szCs w:val="15"/>
          <w:color w:val="auto"/>
        </w:rPr>
        <w:t>CHIEF FINANCIAL OFFICER and TREASURER</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39"/>
          </w:cols>
          <w:pgMar w:left="220" w:top="617" w:right="1440" w:bottom="1440" w:gutter="0" w:footer="0" w:header="0"/>
        </w:sectPr>
      </w:pPr>
    </w:p>
    <w:bookmarkStart w:id="21" w:name="page22"/>
    <w:bookmarkEnd w:id="21"/>
    <w:p>
      <w:pPr>
        <w:ind w:left="1920"/>
        <w:spacing w:after="0"/>
        <w:rPr>
          <w:sz w:val="20"/>
          <w:szCs w:val="20"/>
          <w:color w:val="auto"/>
        </w:rPr>
      </w:pPr>
      <w:r>
        <w:rPr>
          <w:rFonts w:ascii="Courier New" w:cs="Courier New" w:eastAsia="Courier New" w:hAnsi="Courier New"/>
          <w:sz w:val="15"/>
          <w:szCs w:val="15"/>
          <w:color w:val="auto"/>
        </w:rPr>
        <w:t>Index to Exhibits</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237" w:lineRule="auto"/>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ind w:left="1840" w:right="3239" w:hanging="1493"/>
        <w:spacing w:after="0" w:line="235" w:lineRule="auto"/>
        <w:tabs>
          <w:tab w:leader="none" w:pos="140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Amended and Restated Employment Agreement with Mr. Michael Kasbar, Chief Executive Officer of the Marine Fuel Services Division, dated October 11, 2001.</w:t>
      </w:r>
    </w:p>
    <w:p>
      <w:pPr>
        <w:spacing w:after="0" w:line="175" w:lineRule="exact"/>
        <w:rPr>
          <w:sz w:val="20"/>
          <w:szCs w:val="20"/>
          <w:color w:val="auto"/>
        </w:rPr>
      </w:pPr>
    </w:p>
    <w:p>
      <w:pPr>
        <w:ind w:left="1840" w:right="3499" w:hanging="1493"/>
        <w:spacing w:after="0" w:line="235" w:lineRule="auto"/>
        <w:tabs>
          <w:tab w:leader="none" w:pos="140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Credit Agreement, dated as of December 7, 2001, between World Fuel Services Corporation and LaSalle Bank National Association.</w:t>
      </w:r>
    </w:p>
    <w:p>
      <w:pPr>
        <w:sectPr>
          <w:pgSz w:w="11900" w:h="16838" w:orient="portrait"/>
          <w:cols w:equalWidth="0" w:num="1">
            <w:col w:w="9439"/>
          </w:cols>
          <w:pgMar w:left="1020" w:top="617" w:right="1440" w:bottom="1440" w:gutter="0" w:footer="0" w:header="0"/>
        </w:sectPr>
      </w:pPr>
    </w:p>
    <w:bookmarkStart w:id="22" w:name="page23"/>
    <w:bookmarkEnd w:id="22"/>
    <w:p>
      <w:pPr>
        <w:jc w:val="right"/>
        <w:ind w:right="3239"/>
        <w:spacing w:after="0"/>
        <w:rPr>
          <w:sz w:val="20"/>
          <w:szCs w:val="20"/>
          <w:color w:val="auto"/>
        </w:rPr>
      </w:pPr>
      <w:r>
        <w:rPr>
          <w:rFonts w:ascii="Courier New" w:cs="Courier New" w:eastAsia="Courier New" w:hAnsi="Courier New"/>
          <w:sz w:val="15"/>
          <w:szCs w:val="15"/>
          <w:color w:val="auto"/>
        </w:rPr>
        <w:t>Exhibit (10)(a)</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AMENDED AND RESTATED</w:t>
      </w:r>
    </w:p>
    <w:p>
      <w:pPr>
        <w:ind w:left="2640"/>
        <w:spacing w:after="0" w:line="237" w:lineRule="auto"/>
        <w:rPr>
          <w:sz w:val="20"/>
          <w:szCs w:val="20"/>
          <w:color w:val="auto"/>
        </w:rPr>
      </w:pPr>
      <w:r>
        <w:rPr>
          <w:rFonts w:ascii="Courier New" w:cs="Courier New" w:eastAsia="Courier New" w:hAnsi="Courier New"/>
          <w:sz w:val="15"/>
          <w:szCs w:val="15"/>
          <w:color w:val="auto"/>
        </w:rPr>
        <w:t>EMPLOYMENT AGREEMENT</w:t>
      </w:r>
    </w:p>
    <w:p>
      <w:pPr>
        <w:ind w:left="264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THIS AGREEMENT is made and entered into effective as of the 11/th/ day of October, 2001, by and between World Fuel Services Corporation, a Florida corporation (the "Company"), the parent company of Trans-Tec Services, Inc., a Florida corporation ("Trans-Tec"), and Michael J. Kasbar (the "Executive").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RECITALS. Executive currently is employed by the Company pursuant to an</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employment agreement dated January 3, 1995, as amended on June 10, 1997, that expires December 31, 2002 (the "Prior Employment Agreement") as the Chairman of Trans-Tec and the Chief Executive Officer of Trans-Tec, Trans-Tec Servicios S.A., Trans-Tec Services (Singapore) Pte., Ltd., Trans-Tec Services (UK), Ltd., Norse Bunker A.S., Marine Energy Arabia Establishment Ltd., Pacific Horizon Petroleum Services, Inc., Bunkerfuels Corporation, Bunkerfuels U.K. Ltd., and all other subsidiaries and affiliates of the Company engaged in the marine and related businesses, excluding aviation (the "Trans-Tec Group"). The Company and the Executive now wish to amend and restate the Prior Employment Agreement in its entirety.</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are hereby acknowledged, the parties hereby agree that the Prior Employment Agreement is hereby amended and restated in its entirety to read as follows: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Employment. The Company hereby employs Executive pursuant to the terms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and conditions of this Agreement for a term (the initial "Employment Term"), commencing as of October 1, 2001 and ending on March 31, 2005. At least one (1) year prior to each date on which the Employment Term otherwise would terminate, the Company and the Executive shall notify each other in writing whether they elect to extend the Employment Term for an additional year, and the Employment Term shall not be so extended unless both parties so elect to extend the Employment Term. If the Company is electing not to extend the Employment Term for Cause, or the Executive is electing not to extend the Employment Term for Good Reason, it or he shall so state in the notice. During the Employment Term, the Executive shall serve as the Chairman of Trans-Tec, Chief Executive Officer of the Trans-Tec Group, and Executive Vice President of the Company. The Executive shall faithfully and diligently perform all services as may be assigned to him by the President and Chief Operating Officer of the Company consistent with his position, shall report solely to the President and Chief Operating Officer of the Company (the "President and Chief Operating Officer") and shall exercise such power and authority as may from time to time be delegated to him by the President and Chief Operating Officer. The Executive shall devote his full business time and attention to the business and affairs of the Trans-Tec Group and the Company, render such services to the best of his ability, and use his reasonable best efforts to promote the interests of the Trans-Tec Group and the Company. Notwithstanding the foregoing or any other provision of this Agreement, it shall not be a breach or violation of this Agreement for the Executive to (i) serve on corporate, civic or charitable boards or committees, (ii) deliver lectures, fulfill speaking engagements or teach at educational institutions, or (iii) manage personal investments, so long as such activities do not significantly interfere with or significantly detract from the performance of the Executive's responsibilities to the Company in accordance with this Agreement.</w:t>
      </w:r>
    </w:p>
    <w:p>
      <w:pPr>
        <w:sectPr>
          <w:pgSz w:w="11900" w:h="16838" w:orient="portrait"/>
          <w:cols w:equalWidth="0" w:num="1">
            <w:col w:w="10239"/>
          </w:cols>
          <w:pgMar w:left="220" w:top="471" w:right="1440" w:bottom="1440" w:gutter="0" w:footer="0" w:header="0"/>
        </w:sectPr>
      </w:pPr>
    </w:p>
    <w:bookmarkStart w:id="23" w:name="page24"/>
    <w:bookmarkEnd w:id="23"/>
    <w:p>
      <w:pPr>
        <w:ind w:left="700" w:hanging="253"/>
        <w:spacing w:after="0"/>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Employment Term, the Company shall</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pay Executive the compensation and other amounts set forth below.</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2.1 Base Salary. The Company shall pay Executive an annual salary ("Base</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Salary") of Four Hundred and Thirty Seven Thousand Five Hundred Dollars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($437,500), payable in equal installments according to the Company's regular payroll practices and subject to such deductions as may be required by law. The Base Salary shall be reviewed, at least annually, for merit increases and may, by action and in the discretion of the Board of Directors of the Company (the "Board") or the Compensation Committee of the Board (the "Compensation Committee"), be increased at any time or from time to time. Base Salary shall not be decreased and, if increased, shall not thereafter be decreased for any reason.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2.2 Bonus.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059"/>
        <w:spacing w:after="0" w:line="255" w:lineRule="auto"/>
        <w:tabs>
          <w:tab w:leader="none" w:pos="139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January 1, 2001 through December 31, 2001, the Company shall pay Executive a bonus equal to 5% of the annual Pre-Tax Earnings (as hereunder defined) of the Trans-Tec Group for the calendar year 2001 that exceed $4,000,000, payable on or before March 31, 2002. "Pre-Tax Earnings of the Trans-Tec Group" shall be the consolidated pre-tax earnings of the Company and its affiliates engaged in the marine and related business, excluding aviation, managed by the Executive, determined in accordance with generally accepted accounting principles, except that the following expenses shall not be deducted for purposes of computing Pre-Tax Earnings: (i) interest charged by World Fuel Services Corporation to the Trans-Tec Group on the purchase price paid under the Acquisition Agreement for the Assets and the UK Shares; (ii) the amortization of goodwill recognized by the Company related to the acquisition of the Assets and UK Shares.</w:t>
      </w:r>
    </w:p>
    <w:p>
      <w:pPr>
        <w:spacing w:after="0" w:line="164"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Subject to subsections (c), (e), (f), (g) and (h) below, the Company shall pay Executive an annual bonus (the "Bonus") for the period beginning January 1, 2002 and ending March 31, 2002, and unless otherwise agreed to in writing by the Compensation Committee and the Executive, for each 12 month period beginning each April thereafter (each a "Bonus Period") equal to a percentage of the Executive's Base Salary as of the last day of the Bonus Period for which the Bonus is being calculated, determined as follows based upon the Growth in EPS for the Bonus Period: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800" w:type="dxa"/>
            <w:vAlign w:val="bottom"/>
            <w:gridSpan w:val="2"/>
          </w:tcPr>
          <w:p>
            <w:pPr>
              <w:jc w:val="right"/>
              <w:ind w:right="567"/>
              <w:spacing w:after="0"/>
              <w:rPr>
                <w:sz w:val="20"/>
                <w:szCs w:val="20"/>
                <w:color w:val="auto"/>
              </w:rPr>
            </w:pPr>
            <w:r>
              <w:rPr>
                <w:rFonts w:ascii="Courier New" w:cs="Courier New" w:eastAsia="Courier New" w:hAnsi="Courier New"/>
                <w:sz w:val="15"/>
                <w:szCs w:val="15"/>
                <w:color w:val="auto"/>
              </w:rPr>
              <w:t>Growth in EPS for Bonus Period</w:t>
            </w:r>
          </w:p>
        </w:tc>
        <w:tc>
          <w:tcPr>
            <w:tcW w:w="41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Bonus as Percentage of Base Salary for Fiscal</w:t>
            </w:r>
          </w:p>
        </w:tc>
      </w:tr>
      <w:tr>
        <w:trPr>
          <w:trHeight w:val="168"/>
        </w:trPr>
        <w:tc>
          <w:tcPr>
            <w:tcW w:w="380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8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99"/>
              </w:rPr>
              <w:t>Year Ended</w:t>
            </w:r>
          </w:p>
        </w:tc>
      </w:tr>
      <w:tr>
        <w:trPr>
          <w:trHeight w:val="168"/>
        </w:trPr>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8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Equal to or Greater Than</w:t>
            </w:r>
          </w:p>
        </w:tc>
        <w:tc>
          <w:tcPr>
            <w:tcW w:w="134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5"/>
              </w:rPr>
              <w:t>But Less Than</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March 31, 2002</w:t>
            </w:r>
          </w:p>
        </w:tc>
        <w:tc>
          <w:tcPr>
            <w:tcW w:w="2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Each March 31 Thereafter</w:t>
            </w:r>
          </w:p>
        </w:tc>
      </w:tr>
      <w:tr>
        <w:trPr>
          <w:trHeight w:val="168"/>
        </w:trPr>
        <w:tc>
          <w:tcPr>
            <w:tcW w:w="2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4"/>
                <w:szCs w:val="24"/>
                <w:color w:val="auto"/>
              </w:rPr>
            </w:pP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258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0</w:t>
            </w:r>
          </w:p>
        </w:tc>
      </w:tr>
      <w:tr>
        <w:trPr>
          <w:trHeight w:val="168"/>
        </w:trPr>
        <w:tc>
          <w:tcPr>
            <w:tcW w:w="246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12.5%</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6.25%</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246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12.5%</w:t>
            </w: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15%</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46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15%</w:t>
            </w: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17.5%</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18.75%</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46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17.5%</w:t>
            </w:r>
          </w:p>
        </w:tc>
        <w:tc>
          <w:tcPr>
            <w:tcW w:w="1340" w:type="dxa"/>
            <w:vAlign w:val="bottom"/>
          </w:tcPr>
          <w:p>
            <w:pPr>
              <w:spacing w:after="0"/>
              <w:rPr>
                <w:sz w:val="14"/>
                <w:szCs w:val="14"/>
                <w:color w:val="auto"/>
              </w:rPr>
            </w:pP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100%</w:t>
            </w:r>
          </w:p>
        </w:tc>
      </w:tr>
      <w:tr>
        <w:trPr>
          <w:trHeight w:val="841"/>
        </w:trPr>
        <w:tc>
          <w:tcPr>
            <w:tcW w:w="2460" w:type="dxa"/>
            <w:vAlign w:val="bottom"/>
          </w:tcPr>
          <w:p>
            <w:pPr>
              <w:spacing w:after="0"/>
              <w:rPr>
                <w:sz w:val="24"/>
                <w:szCs w:val="24"/>
                <w:color w:val="auto"/>
              </w:rPr>
            </w:pP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4" w:name="page25"/>
    <w:bookmarkEnd w:id="24"/>
    <w:p>
      <w:pPr>
        <w:ind w:right="3239" w:firstLine="1759"/>
        <w:spacing w:after="0" w:line="254" w:lineRule="auto"/>
        <w:tabs>
          <w:tab w:leader="none" w:pos="2274"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foregoing formula, "Growth in EPS" for a Bonus Period shall mean the quotient obtained by dividing (x) the amount, if any, by which (i) the EPS for the 12 month period that ends on the last day of the Bonus Period exceeds (ii) the EPS for the 12 month period ending on the March 31 immediately preceding the Bonus Period (the "Prior Year's EPS"), by (y) the Prior Year's EPS. For purposes of the foregoing formula, EPS shall mean the Company's basic earnings per share, computed in accordance with FASB Statement</w:t>
      </w:r>
    </w:p>
    <w:p>
      <w:pPr>
        <w:spacing w:after="0" w:line="2" w:lineRule="exact"/>
        <w:rPr>
          <w:rFonts w:ascii="Courier New" w:cs="Courier New" w:eastAsia="Courier New" w:hAnsi="Courier New"/>
          <w:sz w:val="14"/>
          <w:szCs w:val="14"/>
          <w:color w:val="auto"/>
        </w:rPr>
      </w:pPr>
    </w:p>
    <w:p>
      <w:pPr>
        <w:ind w:right="3239" w:firstLine="10"/>
        <w:spacing w:after="0" w:line="256" w:lineRule="auto"/>
        <w:tabs>
          <w:tab w:leader="none" w:pos="43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However, the Compensation Committee has the right to adjust financial results to eliminate the effect of certain accounting adjustments and other one-time events, so that the bonus payouts reflect ongoing operating results and are not artificially inflated, or deflated, due to unusual, one-time events.</w:t>
      </w:r>
    </w:p>
    <w:p>
      <w:pPr>
        <w:spacing w:after="0" w:line="164" w:lineRule="exact"/>
        <w:rPr>
          <w:rFonts w:ascii="Courier New" w:cs="Courier New" w:eastAsia="Courier New" w:hAnsi="Courier New"/>
          <w:sz w:val="14"/>
          <w:szCs w:val="14"/>
          <w:color w:val="auto"/>
        </w:rPr>
      </w:pPr>
    </w:p>
    <w:p>
      <w:pPr>
        <w:ind w:right="3239" w:firstLine="1759"/>
        <w:spacing w:after="0" w:line="236" w:lineRule="auto"/>
        <w:tabs>
          <w:tab w:leader="none" w:pos="2274" w:val="left"/>
        </w:tabs>
        <w:numPr>
          <w:ilvl w:val="2"/>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Bonus Period ending March 31, 2002, the Compensation Committee and the Executive shall review the bonus formula and make such changes, if any, as they mutually agree in writing to be appropriate. If the Compensation Committee and the Executive fail to come to such a mutual agreement by June 30, 2002, then the bonus formula for each subsequent Bonus Period shall be the formula as set forth in Section 2.2(b)(i) and (ii) hereof, unless the Company notifies the Executive in writing by no later than July 15, 2002, of a different bonus formula that will apply for each subsequent Bonus Period.</w:t>
      </w:r>
    </w:p>
    <w:p>
      <w:pPr>
        <w:spacing w:after="0" w:line="178" w:lineRule="exact"/>
        <w:rPr>
          <w:rFonts w:ascii="Courier New" w:cs="Courier New" w:eastAsia="Courier New" w:hAnsi="Courier New"/>
          <w:sz w:val="15"/>
          <w:szCs w:val="15"/>
          <w:color w:val="auto"/>
        </w:rPr>
      </w:pPr>
    </w:p>
    <w:p>
      <w:pPr>
        <w:ind w:right="3239" w:firstLine="1322"/>
        <w:spacing w:after="0" w:line="236" w:lineRule="auto"/>
        <w:tabs>
          <w:tab w:leader="none" w:pos="174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that the Company achieve the Growth in EPS goals under this Section 2.2 (the "Performance Goal") is intended as a `performance goal" for Executive, as that term is used in Section 162(m)(4)(C) of the Internal Revenue Code of 1986, as amended (the "Code") and Treasury Regulations promulgated thereunder. The Company hereby represents and warrants to Executive that such Performance Goal has been determined and approved by the Compensation Committee, consisting solely of at least two (2) outside directors, as required by Code (S) 162(m)(4)(C)(i) and Treasury Regulations promulgated thereunder.</w:t>
      </w:r>
    </w:p>
    <w:p>
      <w:pPr>
        <w:spacing w:after="0" w:line="178" w:lineRule="exact"/>
        <w:rPr>
          <w:rFonts w:ascii="Courier New" w:cs="Courier New" w:eastAsia="Courier New" w:hAnsi="Courier New"/>
          <w:sz w:val="15"/>
          <w:szCs w:val="15"/>
          <w:color w:val="auto"/>
        </w:rPr>
      </w:pPr>
    </w:p>
    <w:p>
      <w:pPr>
        <w:ind w:right="3239" w:firstLine="1322"/>
        <w:spacing w:after="0" w:line="254" w:lineRule="auto"/>
        <w:tabs>
          <w:tab w:leader="none" w:pos="174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in no event shall Executive receive any portion of his Bonus if and to the extent that the Company could not reasonably deduct such portion solely by operation of Code (S)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(S)162(m) and Treasury Regulations promulgated thereunder; and (iii) the value of any non-cash benefit or any deferred payment or benefit included in the Executive's remuneration shall be determined by the Company's independent auditors in accordance with the Code. This subsection (d) shall not prohibit the payment of any Bonus (or portion thereof) which is deferred in accordance with subsection</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 below.</w:t>
      </w:r>
    </w:p>
    <w:p>
      <w:pPr>
        <w:spacing w:after="0" w:line="173" w:lineRule="exact"/>
        <w:rPr>
          <w:rFonts w:ascii="Courier New" w:cs="Courier New" w:eastAsia="Courier New" w:hAnsi="Courier New"/>
          <w:sz w:val="14"/>
          <w:szCs w:val="14"/>
          <w:color w:val="auto"/>
        </w:rPr>
      </w:pPr>
    </w:p>
    <w:p>
      <w:pPr>
        <w:ind w:right="3239" w:firstLine="1322"/>
        <w:spacing w:after="0" w:line="255" w:lineRule="auto"/>
        <w:tabs>
          <w:tab w:leader="none" w:pos="174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Employment Term, upon written request of Executive, the Company shall submit the Performance Goal and other material compensation terms provided herein for approval by the Company's shareholders so as to comply with Code (S) 162(m)(4)(C)(ii) and Regulations promulgated thereunder, and the Company shall use reasonable efforts to secure such shareholder approval; provided, (i) the Company shall not be required to call a special shareholders meeting for the sole purpose of complying with this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5" w:name="page26"/>
    <w:bookmarkEnd w:id="25"/>
    <w:p>
      <w:pPr>
        <w:ind w:right="3239"/>
        <w:spacing w:after="0" w:line="236" w:lineRule="auto"/>
        <w:rPr>
          <w:sz w:val="20"/>
          <w:szCs w:val="20"/>
          <w:color w:val="auto"/>
        </w:rPr>
      </w:pPr>
      <w:r>
        <w:rPr>
          <w:rFonts w:ascii="Courier New" w:cs="Courier New" w:eastAsia="Courier New" w:hAnsi="Courier New"/>
          <w:sz w:val="15"/>
          <w:szCs w:val="15"/>
          <w:color w:val="auto"/>
        </w:rPr>
        <w:t>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 Performance Goals and compensation arrangements of all executive officers for shareholder approval at the same meeting.</w:t>
      </w:r>
    </w:p>
    <w:p>
      <w:pPr>
        <w:spacing w:after="0" w:line="177" w:lineRule="exact"/>
        <w:rPr>
          <w:sz w:val="20"/>
          <w:szCs w:val="20"/>
          <w:color w:val="auto"/>
        </w:rPr>
      </w:pPr>
    </w:p>
    <w:p>
      <w:pPr>
        <w:ind w:right="3239" w:firstLine="1147"/>
        <w:spacing w:after="0" w:line="236" w:lineRule="auto"/>
        <w:tabs>
          <w:tab w:leader="none" w:pos="14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to comply with Code (S)162(m)(4)(C)(iii), the Company's Compensation Committee shall, before the payment of any Bonus, certify in writing, if applicable, that the Performance Goal and any other material terms hereof were satisfied, as necessary to comply with Code (S) 162(m)(4)(C)(iii).</w:t>
      </w:r>
    </w:p>
    <w:p>
      <w:pPr>
        <w:spacing w:after="0" w:line="173" w:lineRule="exact"/>
        <w:rPr>
          <w:rFonts w:ascii="Courier New" w:cs="Courier New" w:eastAsia="Courier New" w:hAnsi="Courier New"/>
          <w:sz w:val="15"/>
          <w:szCs w:val="15"/>
          <w:color w:val="auto"/>
        </w:rPr>
      </w:pPr>
    </w:p>
    <w:p>
      <w:pPr>
        <w:ind w:right="3239" w:firstLine="1147"/>
        <w:spacing w:after="0" w:line="254" w:lineRule="auto"/>
        <w:tabs>
          <w:tab w:leader="none" w:pos="148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Company's shareholders have approved the Performance Goal and other material compensation terms provided herein, the payment of any portion of the Bonus causing Executive's compensation to exceed the limitation under Section 162(m)(i) of the Code during any fiscal year of the Company (the "Excess Amount") will be deferred until a fiscal year during the Employment Term in which Executive earns less than the limitation under Section 162(m)(i) of the Code; provided, however, that in the event of Executive's death, the termination</w:t>
      </w: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Executive for any reason, or the expiration of this Agreement, any Excess Amount, including any interest earned thereon, shall be paid to Executive within ten (10) days of such death, termination, or expiration. Any Excess Amount shall earn interest at the prime rate as published in the Wall Street Journal until such amount is paid to the Executive. The Company shall hold any Excess Amount, including any interest earned thereon, in trust for Executive until such amount is paid to Executive in accordance with the terms hereof; provided, that all amounts held in trust for Executive shall be subject to the claims of the creditors of the Company.</w:t>
      </w:r>
    </w:p>
    <w:p>
      <w:pPr>
        <w:spacing w:after="0" w:line="178" w:lineRule="exact"/>
        <w:rPr>
          <w:rFonts w:ascii="Courier New" w:cs="Courier New" w:eastAsia="Courier New" w:hAnsi="Courier New"/>
          <w:sz w:val="14"/>
          <w:szCs w:val="14"/>
          <w:color w:val="auto"/>
        </w:rPr>
      </w:pPr>
    </w:p>
    <w:p>
      <w:pPr>
        <w:ind w:right="3319" w:firstLine="1147"/>
        <w:spacing w:after="0" w:line="235" w:lineRule="auto"/>
        <w:tabs>
          <w:tab w:leader="none" w:pos="14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2.2 are intended, and shall be interpreted, to comply with the requirements of Code (S) 162(m) so as to permit the Company to deduct all payments of applicable employee remuneration made to Executive pursuant to this Agreement.</w:t>
      </w:r>
    </w:p>
    <w:p>
      <w:pPr>
        <w:spacing w:after="0" w:line="169"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Stock Options.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147"/>
        <w:spacing w:after="0" w:line="237" w:lineRule="auto"/>
        <w:tabs>
          <w:tab w:leader="none" w:pos="14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execution of this Agreement, the Company shall grant to the Executive options (the "Initial Options") to purchase up to 55,000 shares of common stock (the "Common Stock") of the Company under (and therefore subject to all terms and conditions of) the World Fuel Services Corporation 1996 Employee Stock Option Plan and the 2001 Omnibus Plan, and any successor plan thereto, and all rules of regulation of the Securities and Exchange Commission applicable to stock option plans then in effect. The option price per share for the Initial Options shall be $11.90. Those Initial Options that are incentive Stock Options (as described below) become exercisable at the rate of one-third per year commencing on the first anniversary of the date of grant, and those Initial Options that are non-qualified stock options become exercisable in full on the second anniversary of the date of grant. In addition to the Initial Options, the Executive shall be eligible to receive additional option grants under the 2001 Omnibus Plan in such number and on such terms and conditions as shall be determined by the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6" w:name="page27"/>
    <w:bookmarkEnd w:id="26"/>
    <w:p>
      <w:pPr>
        <w:ind w:right="3239"/>
        <w:spacing w:after="0" w:line="236" w:lineRule="auto"/>
        <w:rPr>
          <w:sz w:val="20"/>
          <w:szCs w:val="20"/>
          <w:color w:val="auto"/>
        </w:rPr>
      </w:pPr>
      <w:r>
        <w:rPr>
          <w:rFonts w:ascii="Courier New" w:cs="Courier New" w:eastAsia="Courier New" w:hAnsi="Courier New"/>
          <w:sz w:val="15"/>
          <w:szCs w:val="15"/>
          <w:color w:val="auto"/>
        </w:rPr>
        <w:t>Board or the Compensation Committee of the Board. The options granted to the Executive shall be incentive stock options, within the meaning of Section 422(b) of the Internal Revenue Code of 1986 as amended (the "Code"), to the extent that such options do not exceed the limitations imposed by Section 422(d) of the Code, and the balance of the options granted to the Executive shall be non-qualified stock options.</w:t>
      </w:r>
    </w:p>
    <w:p>
      <w:pPr>
        <w:spacing w:after="0" w:line="175" w:lineRule="exact"/>
        <w:rPr>
          <w:sz w:val="20"/>
          <w:szCs w:val="20"/>
          <w:color w:val="auto"/>
        </w:rPr>
      </w:pPr>
    </w:p>
    <w:p>
      <w:pPr>
        <w:ind w:right="3239" w:firstLine="1234"/>
        <w:spacing w:after="0" w:line="255" w:lineRule="auto"/>
        <w:tabs>
          <w:tab w:leader="none" w:pos="166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Options shall become fully vested immediately in the event that: (i) a Change of Control of the Company as defined in Section 3.1 hereof occurs, or (ii) the Executive terminates his employment with the Company for Good Reason, as defined in Section 3.4 hereof, or (iii) the Company terminates the Executive's employment with the Company, other than for Cause, as defined in Section 3.2 hereof. In the event the Executive's employment terminates for any of the reasons set forth in subsections (ii) or (iii) of this Section 2.3, the Executive may exercise all vested rights under the Initial Options at any time after vesting and until the earlier of: (1) the date that is two (2) years after the date on which the Executive's employment terminates for the reasons provided above, and (2) the Expiration Date for the options as defined in the applicable option agreement.</w:t>
      </w:r>
    </w:p>
    <w:p>
      <w:pPr>
        <w:spacing w:after="0" w:line="158"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Restricted Stock. Upon execution of this Agreement, the Company</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shall grant to the Executive 25,000 shares of restricted Common Stock of the Company (the "Restricted Stock"), which shall vest 25% on October 1, 2002, 25% on October 1, 2003, 25% on October 1, 2004, and 25% on March 31, 2005, and subject to such terms and conditions as are set forth in a Restricted Stock Agreement to be entered into by and between the Company and the Executive in the form attached as Exhibit A hereto (the "Restricted Stock Agreement"). The Executive's rights with respect to the Restricted Stock shall become fully vested immediately in the event that (i) a Change or Control of the Company as defined in Section 3.1 hereof occurs, or (ii) the Executive terminates his employment with the Company for Good Reason, as defined in Section 3.4 hereof, or (iii) the Company terminates the Executive's employment with the Company, other than for Cause, as defined in Section 3.2 hereof.</w:t>
      </w:r>
    </w:p>
    <w:p>
      <w:pPr>
        <w:spacing w:after="0" w:line="158"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Other Benefits. Executive: (i) shall be entitled to receive all</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medical, health, disability, life and dental insurance, and other similar employee benefit programs, which may be provided by the Company to its executive employees from time-to-time; (ii) shall be entitled to reimbursement for reasonable and necessary out-of-pocket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(iv) shall be entitled to six (6) weeks paid vacation each calendar year, and any vacation time not taken during any calendar year shall be carried over into subsequent calendar years if and to the extent such carried over vacation time does not exceed six (6) weeks; and (v) shall be entitled to reimbursement from the Company for all of his legal fees and expenses incurred in connection with the preparation of this Employment Agreement.</w:t>
      </w:r>
    </w:p>
    <w:p>
      <w:pPr>
        <w:spacing w:after="0" w:line="167" w:lineRule="exact"/>
        <w:rPr>
          <w:sz w:val="20"/>
          <w:szCs w:val="20"/>
          <w:color w:val="auto"/>
        </w:rPr>
      </w:pPr>
    </w:p>
    <w:p>
      <w:pPr>
        <w:ind w:left="800" w:hanging="353"/>
        <w:spacing w:after="0"/>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Change of Control. For purposes of this Agreement, a "Change of</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Control" shall be deemed to have occurred if:</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7" w:name="page28"/>
    <w:bookmarkEnd w:id="27"/>
    <w:p>
      <w:pPr>
        <w:ind w:right="3319" w:firstLine="1147"/>
        <w:spacing w:after="0" w:line="236" w:lineRule="auto"/>
        <w:tabs>
          <w:tab w:leader="none" w:pos="14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 as 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75" w:lineRule="exact"/>
        <w:rPr>
          <w:rFonts w:ascii="Courier New" w:cs="Courier New" w:eastAsia="Courier New" w:hAnsi="Courier New"/>
          <w:sz w:val="15"/>
          <w:szCs w:val="15"/>
          <w:color w:val="auto"/>
        </w:rPr>
      </w:pPr>
    </w:p>
    <w:p>
      <w:pPr>
        <w:ind w:right="3239" w:firstLine="1147"/>
        <w:spacing w:after="0" w:line="254" w:lineRule="auto"/>
        <w:tabs>
          <w:tab w:leader="none" w:pos="148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the date hereof, constitute the Board of Directors of the Company (the "Board" generally and as of the date hereof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343" w:lineRule="exact"/>
        <w:rPr>
          <w:rFonts w:ascii="Courier New" w:cs="Courier New" w:eastAsia="Courier New" w:hAnsi="Courier New"/>
          <w:sz w:val="14"/>
          <w:szCs w:val="14"/>
          <w:color w:val="auto"/>
        </w:rPr>
      </w:pPr>
    </w:p>
    <w:p>
      <w:pPr>
        <w:ind w:right="3319" w:firstLine="1147"/>
        <w:spacing w:after="0" w:line="234" w:lineRule="auto"/>
        <w:tabs>
          <w:tab w:leader="none" w:pos="14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 dissolution of the Company or all or substantially all of the assets of the Company have been sold; or</w:t>
      </w:r>
    </w:p>
    <w:p>
      <w:pPr>
        <w:spacing w:after="0" w:line="173"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enters into an agreement or series of agreements or the Board passes a resolution which will result in the occurrence of any of the matters described in Subsections (a), (b) or (c), and the Executive's employ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 be deemed to have retroactively occurred on the date of the execution of the earliest of such agreement(s) or the passage of such resolution.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w w:val="98"/>
              </w:rPr>
              <w:t>Cause. For purposes of</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this Agreement,</w:t>
            </w:r>
          </w:p>
        </w:tc>
        <w:tc>
          <w:tcPr>
            <w:tcW w:w="2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"Cause" means (i) an act or</w:t>
            </w:r>
          </w:p>
        </w:tc>
      </w:tr>
      <w:tr>
        <w:trPr>
          <w:trHeight w:val="168"/>
        </w:trPr>
        <w:tc>
          <w:tcPr>
            <w:tcW w:w="1100" w:type="dxa"/>
            <w:vAlign w:val="bottom"/>
          </w:tcPr>
          <w:p>
            <w:pPr>
              <w:spacing w:after="0"/>
              <w:rPr>
                <w:sz w:val="14"/>
                <w:szCs w:val="14"/>
                <w:color w:val="auto"/>
              </w:rPr>
            </w:pPr>
          </w:p>
        </w:tc>
        <w:tc>
          <w:tcPr>
            <w:tcW w:w="202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acts of fraud, misappropriation, or</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embezzlement on</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the Executive's</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 which</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result in or</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are intended to result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 his personal</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enrichment at the expense of</w:t>
            </w:r>
          </w:p>
        </w:tc>
      </w:tr>
      <w:tr>
        <w:trPr>
          <w:trHeight w:val="168"/>
        </w:trPr>
        <w:tc>
          <w:tcPr>
            <w:tcW w:w="4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the Company or its subsidiaries or affiliates, (ii)</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conviction of a</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felony, or</w:t>
            </w:r>
          </w:p>
        </w:tc>
      </w:tr>
    </w:tbl>
    <w:p>
      <w:pPr>
        <w:spacing w:after="0" w:line="5" w:lineRule="exact"/>
        <w:rPr>
          <w:sz w:val="20"/>
          <w:szCs w:val="20"/>
          <w:color w:val="auto"/>
        </w:rPr>
      </w:pPr>
    </w:p>
    <w:p>
      <w:pPr>
        <w:ind w:right="3579" w:firstLine="10"/>
        <w:spacing w:after="0" w:line="235" w:lineRule="auto"/>
        <w:tabs>
          <w:tab w:leader="none" w:pos="52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failure to report to work for more than thirty (30) continuous days not attributable to eligible vacation or supported by a licensed physician's statement.</w:t>
      </w:r>
    </w:p>
    <w:p>
      <w:pPr>
        <w:spacing w:after="0" w:line="167"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Disability. For purposes of this Agreement, "Disability" means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disability which after the expiration of more than twelve (12) months after its commencement is determined to be total and permanent by an independent physician mutually agreeable to the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8" w:name="page29"/>
    <w:bookmarkEnd w:id="28"/>
    <w:p>
      <w:pPr>
        <w:ind w:right="3759"/>
        <w:spacing w:after="0" w:line="235" w:lineRule="auto"/>
        <w:rPr>
          <w:sz w:val="20"/>
          <w:szCs w:val="20"/>
          <w:color w:val="auto"/>
        </w:rPr>
      </w:pPr>
      <w:r>
        <w:rPr>
          <w:rFonts w:ascii="Courier New" w:cs="Courier New" w:eastAsia="Courier New" w:hAnsi="Courier New"/>
          <w:sz w:val="15"/>
          <w:szCs w:val="15"/>
          <w:color w:val="auto"/>
        </w:rPr>
        <w:t>parties. Notwithstanding any disability of Executive, he shall continue to receive all compensation and benefits provided under Section 2 until his employment is actually terminated, by a Notice of Termination pursuant to Section 4.2.</w:t>
      </w:r>
    </w:p>
    <w:p>
      <w:pPr>
        <w:spacing w:after="0" w:line="169"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Good Reason. For purposes of this Agreement, "Good Reason" means: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147"/>
        <w:spacing w:after="0" w:line="256" w:lineRule="auto"/>
        <w:tabs>
          <w:tab w:leader="none" w:pos="14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2 of this Agreement other than an insubstantial and inadvertent failure not occurring in bad faith and which is remedied by the Company within five (5) business days after receipt of notice thereof given by the Executive;</w:t>
      </w:r>
    </w:p>
    <w:p>
      <w:pPr>
        <w:spacing w:after="0" w:line="164" w:lineRule="exact"/>
        <w:rPr>
          <w:rFonts w:ascii="Courier New" w:cs="Courier New" w:eastAsia="Courier New" w:hAnsi="Courier New"/>
          <w:sz w:val="14"/>
          <w:szCs w:val="14"/>
          <w:color w:val="auto"/>
        </w:rPr>
      </w:pPr>
    </w:p>
    <w:p>
      <w:pPr>
        <w:ind w:right="3239" w:firstLine="1147"/>
        <w:spacing w:after="0" w:line="255" w:lineRule="auto"/>
        <w:tabs>
          <w:tab w:leader="none" w:pos="14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 Change in Control, any failure by the Company and/or its subsidiaries or affiliates to furnish the Executive and/or where applicable, his family, with: (i) total annual cash compensation (including annual bonus), (ii) 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 (6)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332" w:lineRule="exact"/>
        <w:rPr>
          <w:rFonts w:ascii="Courier New" w:cs="Courier New" w:eastAsia="Courier New" w:hAnsi="Courier New"/>
          <w:sz w:val="14"/>
          <w:szCs w:val="14"/>
          <w:color w:val="auto"/>
        </w:rPr>
      </w:pPr>
    </w:p>
    <w:p>
      <w:pPr>
        <w:ind w:right="3239" w:firstLine="1147"/>
        <w:spacing w:after="0" w:line="256" w:lineRule="auto"/>
        <w:tabs>
          <w:tab w:leader="none" w:pos="14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and/or its subsidiaries' or affiliates' requiring the Executive to be based or to perform services at any site or location more than fifteen (15) miles from Miami, Florida, except for travel reasonably required in the performance of the Executive's responsibilities (which does not materially exceed the level of travel previously required of the Executive);</w:t>
      </w:r>
    </w:p>
    <w:p>
      <w:pPr>
        <w:spacing w:after="0" w:line="163" w:lineRule="exact"/>
        <w:rPr>
          <w:rFonts w:ascii="Courier New" w:cs="Courier New" w:eastAsia="Courier New" w:hAnsi="Courier New"/>
          <w:sz w:val="14"/>
          <w:szCs w:val="14"/>
          <w:color w:val="auto"/>
        </w:rPr>
      </w:pPr>
    </w:p>
    <w:p>
      <w:pPr>
        <w:ind w:right="3239" w:firstLine="1147"/>
        <w:spacing w:after="0" w:line="261" w:lineRule="auto"/>
        <w:tabs>
          <w:tab w:leader="none" w:pos="14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obtain the assumption and agreement to perform this Agreement by a successor as contemplated by Section 9;</w:t>
      </w:r>
    </w:p>
    <w:p>
      <w:pPr>
        <w:spacing w:after="0" w:line="159" w:lineRule="exact"/>
        <w:rPr>
          <w:rFonts w:ascii="Courier New" w:cs="Courier New" w:eastAsia="Courier New" w:hAnsi="Courier New"/>
          <w:sz w:val="14"/>
          <w:szCs w:val="14"/>
          <w:color w:val="auto"/>
        </w:rPr>
      </w:pPr>
    </w:p>
    <w:p>
      <w:pPr>
        <w:ind w:right="3239" w:firstLine="1147"/>
        <w:spacing w:after="0" w:line="255" w:lineRule="auto"/>
        <w:tabs>
          <w:tab w:leader="none" w:pos="14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express prior written consent of the Executive (which consent the Executive has the absolute right to withhold), (i) the assignment to the Executive of any duties inconsistent in any material respect with the Executive's position (including titles and reporting relationships), authority, responsibilities or status, or (ii) any other material adverse change in such position, authority, responsibility or status; or</w:t>
      </w:r>
    </w:p>
    <w:p>
      <w:pPr>
        <w:spacing w:after="0" w:line="166" w:lineRule="exact"/>
        <w:rPr>
          <w:rFonts w:ascii="Courier New" w:cs="Courier New" w:eastAsia="Courier New" w:hAnsi="Courier New"/>
          <w:sz w:val="14"/>
          <w:szCs w:val="14"/>
          <w:color w:val="auto"/>
        </w:rPr>
      </w:pPr>
    </w:p>
    <w:p>
      <w:pPr>
        <w:ind w:right="3239" w:firstLine="1147"/>
        <w:spacing w:after="0" w:line="236" w:lineRule="auto"/>
        <w:tabs>
          <w:tab w:leader="none" w:pos="14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termination of employment for any reason by no later than August 15, 2002, in the event that the Company and the Executive fail to mutually agree pursuant to Section 2.2(b)(iii) upon a bonus formula for fiscal years ending after March 31, 2002, and the Executive does not accept a formula selected by the Company that differs from the formula set forth in Section 2.2(b).</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For the purposes of this Section 3.4, any good faith interpretation by the Executive of the foregoing definitions of "Good Reason" shall be conclusive on the Company. No termination by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9" w:name="page30"/>
    <w:bookmarkEnd w:id="29"/>
    <w:p>
      <w:pPr>
        <w:ind w:right="3399"/>
        <w:spacing w:after="0" w:line="235" w:lineRule="auto"/>
        <w:rPr>
          <w:sz w:val="20"/>
          <w:szCs w:val="20"/>
          <w:color w:val="auto"/>
        </w:rPr>
      </w:pPr>
      <w:r>
        <w:rPr>
          <w:rFonts w:ascii="Courier New" w:cs="Courier New" w:eastAsia="Courier New" w:hAnsi="Courier New"/>
          <w:sz w:val="15"/>
          <w:szCs w:val="15"/>
          <w:color w:val="auto"/>
        </w:rPr>
        <w:t>Executive for Good Reason shall be deemed a voluntary termination by Executive for purposes of any stock option, employee benefit or similar plan of the Company.</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3.5 Notice of Termination. For purposes of this Agreement, a "Notice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Termination" means a written notice which (i) indicates the specific termination provision in this Agreement relied upon, (ii) sets forth in reasonable detail the facts and circumstances claimed to provide a basis for termination of the Executive's employment under the provision so indicated, and</w:t>
      </w:r>
    </w:p>
    <w:p>
      <w:pPr>
        <w:spacing w:after="0" w:line="1" w:lineRule="exact"/>
        <w:rPr>
          <w:sz w:val="20"/>
          <w:szCs w:val="20"/>
          <w:color w:val="auto"/>
        </w:rPr>
      </w:pPr>
    </w:p>
    <w:p>
      <w:pPr>
        <w:ind w:right="3579" w:firstLine="10"/>
        <w:spacing w:after="0" w:line="235" w:lineRule="auto"/>
        <w:tabs>
          <w:tab w:leader="none" w:pos="5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Date of Termination is other than the date of receipt of such notice, specifies the Date of Termination (which date shall be not more than fifteen (15) days after the giving of such notice).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3.6 Date of Termination. Date of Termination means the date of</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receipt of the Notice of Termination or any later date specified therein, as the case may be.</w:t>
      </w:r>
    </w:p>
    <w:p>
      <w:pPr>
        <w:spacing w:after="0" w:line="167" w:lineRule="exact"/>
        <w:rPr>
          <w:sz w:val="20"/>
          <w:szCs w:val="20"/>
          <w:color w:val="auto"/>
        </w:rPr>
      </w:pPr>
    </w:p>
    <w:p>
      <w:pPr>
        <w:ind w:left="1060" w:hanging="351"/>
        <w:spacing w:after="0"/>
        <w:tabs>
          <w:tab w:leader="none" w:pos="10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Events of Termination. The Executive may terminate his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employment with the Company, for Good Reason, at any time, and may terminate his employment with the Company without Good Reason upon thirty (30) days written notice to the Company. The Company may terminate Executive's employment with the Company at any time upon the occurrence of one or more of the events set forth in subsections (a) through (c) below. The death or Disability of Executive shall in no event be deemed a termination of employment by Executive.</w:t>
      </w:r>
    </w:p>
    <w:p>
      <w:pPr>
        <w:spacing w:after="0" w:line="160" w:lineRule="exact"/>
        <w:rPr>
          <w:sz w:val="20"/>
          <w:szCs w:val="20"/>
          <w:color w:val="auto"/>
        </w:rPr>
      </w:pPr>
    </w:p>
    <w:p>
      <w:pPr>
        <w:ind w:left="1760" w:hanging="351"/>
        <w:spacing w:after="0"/>
        <w:tabs>
          <w:tab w:leader="none" w:pos="17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66" w:lineRule="exact"/>
        <w:rPr>
          <w:rFonts w:ascii="Courier New" w:cs="Courier New" w:eastAsia="Courier New" w:hAnsi="Courier New"/>
          <w:sz w:val="15"/>
          <w:szCs w:val="15"/>
          <w:color w:val="auto"/>
        </w:rPr>
      </w:pPr>
    </w:p>
    <w:p>
      <w:pPr>
        <w:ind w:left="1760" w:hanging="351"/>
        <w:spacing w:after="0"/>
        <w:tabs>
          <w:tab w:leader="none" w:pos="17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Disability of Executive.</w:t>
      </w:r>
    </w:p>
    <w:p>
      <w:pPr>
        <w:spacing w:after="0" w:line="166" w:lineRule="exact"/>
        <w:rPr>
          <w:rFonts w:ascii="Courier New" w:cs="Courier New" w:eastAsia="Courier New" w:hAnsi="Courier New"/>
          <w:sz w:val="15"/>
          <w:szCs w:val="15"/>
          <w:color w:val="auto"/>
        </w:rPr>
      </w:pPr>
    </w:p>
    <w:p>
      <w:pPr>
        <w:ind w:left="1760" w:hanging="351"/>
        <w:spacing w:after="0"/>
        <w:tabs>
          <w:tab w:leader="none" w:pos="17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 for Cause.</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4.2 Notice of Termination. Any termination of the Executive's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employment by the Executive for Good Reason or otherwise, or by the Company for Cause or otherwise, shall be communicated by Notice of Termination to the other party hereto given in accordance with Section 10(h).</w:t>
      </w:r>
    </w:p>
    <w:p>
      <w:pPr>
        <w:spacing w:after="0" w:line="167" w:lineRule="exact"/>
        <w:rPr>
          <w:sz w:val="20"/>
          <w:szCs w:val="20"/>
          <w:color w:val="auto"/>
        </w:rPr>
      </w:pPr>
    </w:p>
    <w:p>
      <w:pPr>
        <w:ind w:left="1060" w:hanging="351"/>
        <w:spacing w:after="0"/>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Upon Termination.</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4"/>
          <w:szCs w:val="14"/>
          <w:color w:val="auto"/>
        </w:rPr>
        <w:t>5.1 Voluntary Termination by Executive and Termination For Cause. If</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Executive's employment with the Company is terminated (i) voluntarily by the Executive, for any reason other than Good Reason, or (ii) by the Company for Cause, the Company shall pay Executive, within five (5) business days 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shall continue to receive such rights and benefits in accordance with the terms of such plans.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30" w:name="page31"/>
    <w:bookmarkEnd w:id="30"/>
    <w:p>
      <w:pPr>
        <w:ind w:left="880"/>
        <w:spacing w:after="0"/>
        <w:rPr>
          <w:sz w:val="20"/>
          <w:szCs w:val="20"/>
          <w:color w:val="auto"/>
        </w:rPr>
      </w:pPr>
      <w:r>
        <w:rPr>
          <w:rFonts w:ascii="Courier New" w:cs="Courier New" w:eastAsia="Courier New" w:hAnsi="Courier New"/>
          <w:sz w:val="14"/>
          <w:szCs w:val="14"/>
          <w:color w:val="auto"/>
        </w:rPr>
        <w:t>5.2 Termination for Death or Disability. If Executive's employment is</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shall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5.3 Termination by the Company in Default of Agreement; Termination of</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by the Executive for Good Reason. If (i) the Executive's employment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 the Company is terminated by the Company prior to, or more than three (3) years after, a Change of Control for any reason other than the Executive's death or Disability, and other than for Cause, or (ii) the Executive terminates employment with the Company for Good Reason prior to, or more than three (3) years after, a Change of Control, then the Company shall pay and provide Executive:</w:t>
      </w:r>
    </w:p>
    <w:p>
      <w:pPr>
        <w:spacing w:after="0" w:line="175" w:lineRule="exact"/>
        <w:rPr>
          <w:sz w:val="20"/>
          <w:szCs w:val="20"/>
          <w:color w:val="auto"/>
        </w:rPr>
      </w:pPr>
    </w:p>
    <w:p>
      <w:pPr>
        <w:ind w:right="3319" w:firstLine="1234"/>
        <w:spacing w:after="0" w:line="234" w:lineRule="auto"/>
        <w:tabs>
          <w:tab w:leader="none" w:pos="157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cash payment described in Section I of Exhibit A attached hereto and made a part hereof; plus</w:t>
      </w:r>
    </w:p>
    <w:p>
      <w:pPr>
        <w:spacing w:after="0" w:line="173" w:lineRule="exact"/>
        <w:rPr>
          <w:rFonts w:ascii="Courier New" w:cs="Courier New" w:eastAsia="Courier New" w:hAnsi="Courier New"/>
          <w:sz w:val="15"/>
          <w:szCs w:val="15"/>
          <w:color w:val="auto"/>
        </w:rPr>
      </w:pPr>
    </w:p>
    <w:p>
      <w:pPr>
        <w:ind w:left="1580" w:hanging="346"/>
        <w:spacing w:after="0"/>
        <w:tabs>
          <w:tab w:leader="none" w:pos="15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described in Sections II through IV of Exhibit A.</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amounts payable under subsection (a)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shall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5.4 Termination Following a Change in Control. In the event that (i) a</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Change in Control in the Company shall occur during the Employment Term, and</w:t>
      </w:r>
    </w:p>
    <w:p>
      <w:pPr>
        <w:spacing w:after="0" w:line="5" w:lineRule="exact"/>
        <w:rPr>
          <w:sz w:val="20"/>
          <w:szCs w:val="20"/>
          <w:color w:val="auto"/>
        </w:rPr>
      </w:pPr>
    </w:p>
    <w:p>
      <w:pPr>
        <w:ind w:right="3239" w:firstLine="10"/>
        <w:spacing w:after="0" w:line="236" w:lineRule="auto"/>
        <w:tabs>
          <w:tab w:leader="none" w:pos="43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third anniversary of the Change of Control, either (x) the Term of Employment is terminated by the Company without Cause (or the Term of Employment expires because the Company has refused to extend the Term without Cause), or (y) the Executive terminates the Term of Employment (or refuses to extend the Term) for Good Reason, the Company shall pay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31" w:name="page32"/>
    <w:bookmarkEnd w:id="31"/>
    <w:p>
      <w:pPr>
        <w:ind w:right="3239"/>
        <w:spacing w:after="0" w:line="255" w:lineRule="auto"/>
        <w:rPr>
          <w:sz w:val="20"/>
          <w:szCs w:val="20"/>
          <w:color w:val="auto"/>
        </w:rPr>
      </w:pPr>
      <w:r>
        <w:rPr>
          <w:rFonts w:ascii="Courier New" w:cs="Courier New" w:eastAsia="Courier New" w:hAnsi="Courier New"/>
          <w:sz w:val="14"/>
          <w:szCs w:val="14"/>
          <w:color w:val="auto"/>
        </w:rPr>
        <w:t>and provide Executive, within five (5) business days after the Date of Termination, as severance compensation, the cash amounts and benefits (collectively, "Severance Benefits") payable to the Executive under Section 5.3 hereof. For this purpose, termination of employment by the Executive for any reason during the 30 day period that begins 6-months after the Change in Control occurs shall be deemed to be a termination by the Executive for Good Reason. The Severance Benefits so paid and provided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shall continue to receive such rights and benefits in accordance with the 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325"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Termination Prior to a Change of Control as a Result of Company's</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Non-Extension of Employment Term Without Cause. If the Company elects not to</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extend the Employment Term pursuant to Section 1 hereof other than for Cause, and the Employment Term expires prior to, or more than three (3) years after, the date on which a Change of Control has occurred, then the Company shall pay and provide to the Executive (a) Executive's Base Salary, unused vacation entitlement and car allowance through the Date of Termination (if not already paid), by cashier's check within five (5) business days after his Date of Termination; (b) continue to pay for a period of one year after the Date of Termination (the "Continuation Period"), an amount equal to the sum of (i) the Executive's Base Salary as of the Date of Termination and (ii) the average of the Executive's bonuses for each of the three (3) fiscal years of the Company ending on or immediately before the Date of Termination, such sum to be payable in twenty-six (26) consecutive bi-weekly installments commencing two weeks from the Date of Termination; and (c) continue to provide the benefits described in Sections (II) and (IV) of Exhibit A hereto through the end of the Continuation Period. In addition, the Executive shall be entitled to exercise his Stock Rights, as defined in Section III of Exhibit A hereto, for the period specified in said Section III. The Company may discontinue the payment of any amounts and provision of any benefits required under this Section 5.5 in the event that, during the Continuation Period, either (i) the Executive fails to comply in any material respect with any provision of Section 6 of this Agreement other than an insubstantial and an inadvertent failure not occurring in bad faith and which is remedied by the Executive within five (5) business days after receipt of notice thereof given by the Company, or (ii) if requested by the Company to do so, the Executive fails to provide up to ten hours per calendar month of consulting services (including any travel time) to the Company as reasonably requested by the Company, at such times and places as shall be mutually agreeable to the Company and the Executive so as not to materially interfere with any other obligations or commitments of the Executive and subject to the Company's reimbursement to the Executive of his reasonable expenses incurred in providing such consulting services.</w:t>
      </w:r>
    </w:p>
    <w:p>
      <w:pPr>
        <w:spacing w:after="0" w:line="340"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Certain Additional Payments by the Company.</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1322"/>
        <w:spacing w:after="0" w:line="235" w:lineRule="auto"/>
        <w:tabs>
          <w:tab w:leader="none" w:pos="17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in the event that a Change of Control occurs prior to January 1, 2003, and it shall be determined that, as a result of such Change of Control, any payment, distribution or other action by the Company 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32" w:name="page33"/>
    <w:bookmarkEnd w:id="32"/>
    <w:p>
      <w:pPr>
        <w:ind w:right="3239"/>
        <w:spacing w:after="0" w:line="254" w:lineRule="auto"/>
        <w:rPr>
          <w:sz w:val="20"/>
          <w:szCs w:val="20"/>
          <w:color w:val="auto"/>
        </w:rPr>
      </w:pPr>
      <w:r>
        <w:rPr>
          <w:rFonts w:ascii="Courier New" w:cs="Courier New" w:eastAsia="Courier New" w:hAnsi="Courier New"/>
          <w:sz w:val="14"/>
          <w:szCs w:val="14"/>
          <w:color w:val="auto"/>
        </w:rPr>
        <w:t>or for the benefit of the Executive (whether paid or payable or distributed or distributable pursuant to the terms of this Agreement or otherwise, including any additional payments required under this Section 5.6) (a "Payment") would be subject to an excise tax imposed by Section 4999 of the Internal Revenue Code of 1986, as amended (the "Code"), or any interest or penalties are incurred by the Executive with respect to any such excise tax (such excise tax, together with any such interest and penalties, are hereinafter collectively referred to as the "Excise Tax"), the Company shall make a payment to the Executive (a "Gross-Up Payment") in an amount such that after payment by the Executive of all taxes (including any Excise Tax) imposed upon the Gross-Up Payment, the Executive retains (or has had paid to the Internal Revenue Service on his behalf) an amount of the Gross-Up Payment equal to the sum of (x) the Excise Tax imposed upon the Payments and (y) the product of any deductions disallowed because of the inclusion of the Gross-Up Payment in the Executive's adjusted gross income and the highest applicable marginal rate of federal income taxation for the calendar year in which the Gross-Up Payment is to be made. For purposes of determining the amount of the Gross-Up Payment, the Executive shall be deemed to</w:t>
      </w:r>
    </w:p>
    <w:p>
      <w:pPr>
        <w:spacing w:after="0" w:line="6" w:lineRule="exact"/>
        <w:rPr>
          <w:sz w:val="20"/>
          <w:szCs w:val="20"/>
          <w:color w:val="auto"/>
        </w:rPr>
      </w:pPr>
    </w:p>
    <w:p>
      <w:pPr>
        <w:ind w:right="3319" w:firstLine="10"/>
        <w:spacing w:after="0" w:line="254" w:lineRule="auto"/>
        <w:tabs>
          <w:tab w:leader="none" w:pos="3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federal income taxes at the highest marginal rates of federal income taxation for the calendar year in which the Gross-Up Payment is to be made, and</w:t>
      </w:r>
    </w:p>
    <w:p>
      <w:pPr>
        <w:ind w:right="3239" w:firstLine="10"/>
        <w:spacing w:after="0" w:line="235" w:lineRule="auto"/>
        <w:tabs>
          <w:tab w:leader="none" w:pos="43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applicable state and local income taxes at the highest marginal rate of taxation for the calendar year in which the Gross-Up Payment is to be made, net of the maximum reduction in federal income taxes which could be obtained from deduction of such state and local taxes.</w:t>
      </w:r>
    </w:p>
    <w:p>
      <w:pPr>
        <w:spacing w:after="0" w:line="175" w:lineRule="exact"/>
        <w:rPr>
          <w:rFonts w:ascii="Courier New" w:cs="Courier New" w:eastAsia="Courier New" w:hAnsi="Courier New"/>
          <w:sz w:val="15"/>
          <w:szCs w:val="15"/>
          <w:color w:val="auto"/>
        </w:rPr>
      </w:pPr>
    </w:p>
    <w:p>
      <w:pPr>
        <w:ind w:right="3239" w:firstLine="1322"/>
        <w:spacing w:after="0" w:line="254" w:lineRule="auto"/>
        <w:tabs>
          <w:tab w:leader="none" w:pos="174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paragraph (c) of this Section 5.6, all determinations required to be made under this Section 5.6, including whether and when a Gross-Up Payment is required and the amount of such Gross-Up Payment and the assumptions to be utilized in arriving at such determination, shall be made by Arthur Andersen &amp; Co. (the "Accounting Firm") which shall provide detailed supporting calculations both to the Company and the Executive within 15 business days of the receipt of notice from the Executive that there has been a Payment,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 All fees and expenses of the Accounting Firm shall be borne solely by the Company. Any Gross-Up Payment, as determined pursuant to this Section 5.6, shall be paid by the Company to the Executive within five days of the receipt of the Accounting Firm's determination.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5.6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33" w:name="page34"/>
    <w:bookmarkEnd w:id="33"/>
    <w:p>
      <w:pPr>
        <w:ind w:right="3239" w:firstLine="1759"/>
        <w:spacing w:after="0" w:line="255" w:lineRule="auto"/>
        <w:tabs>
          <w:tab w:leader="none" w:pos="209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the Gross-Up Payment. Such notification shall be given no later than fifteen (15) 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he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58" w:lineRule="exact"/>
        <w:rPr>
          <w:rFonts w:ascii="Courier New" w:cs="Courier New" w:eastAsia="Courier New" w:hAnsi="Courier New"/>
          <w:sz w:val="14"/>
          <w:szCs w:val="14"/>
          <w:color w:val="auto"/>
        </w:rPr>
      </w:pPr>
    </w:p>
    <w:p>
      <w:pPr>
        <w:ind w:left="2640" w:hanging="531"/>
        <w:spacing w:after="0"/>
        <w:tabs>
          <w:tab w:leader="none" w:pos="26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by the Company relating to such claim,</w:t>
      </w:r>
    </w:p>
    <w:p>
      <w:pPr>
        <w:spacing w:after="0" w:line="166" w:lineRule="exact"/>
        <w:rPr>
          <w:rFonts w:ascii="Courier New" w:cs="Courier New" w:eastAsia="Courier New" w:hAnsi="Courier New"/>
          <w:sz w:val="15"/>
          <w:szCs w:val="15"/>
          <w:color w:val="auto"/>
        </w:rPr>
      </w:pPr>
    </w:p>
    <w:p>
      <w:pPr>
        <w:ind w:left="2640" w:hanging="531"/>
        <w:spacing w:after="0"/>
        <w:tabs>
          <w:tab w:leader="none" w:pos="26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claim as the Company shall reasonably request in writing from time to time, including, without limitation, accepting legal representation with respect to such claim by an attorney reasonably selected by the Company,</w:t>
      </w:r>
    </w:p>
    <w:p>
      <w:pPr>
        <w:spacing w:after="0" w:line="173" w:lineRule="exact"/>
        <w:rPr>
          <w:rFonts w:ascii="Courier New" w:cs="Courier New" w:eastAsia="Courier New" w:hAnsi="Courier New"/>
          <w:sz w:val="15"/>
          <w:szCs w:val="15"/>
          <w:color w:val="auto"/>
        </w:rPr>
      </w:pPr>
    </w:p>
    <w:p>
      <w:pPr>
        <w:ind w:right="3319" w:firstLine="2109"/>
        <w:spacing w:after="0" w:line="234" w:lineRule="auto"/>
        <w:tabs>
          <w:tab w:leader="none" w:pos="262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3" w:lineRule="exact"/>
        <w:rPr>
          <w:rFonts w:ascii="Courier New" w:cs="Courier New" w:eastAsia="Courier New" w:hAnsi="Courier New"/>
          <w:sz w:val="15"/>
          <w:szCs w:val="15"/>
          <w:color w:val="auto"/>
        </w:rPr>
      </w:pPr>
    </w:p>
    <w:p>
      <w:pPr>
        <w:ind w:right="4099" w:firstLine="2109"/>
        <w:spacing w:after="0" w:line="234" w:lineRule="auto"/>
        <w:tabs>
          <w:tab w:leader="none" w:pos="262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proceedings relating to such claim;</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5.6(c), the Company shall control all proceedings taken in connection with such contest and, at its sole option, may pursue or forego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34" w:name="page35"/>
    <w:bookmarkEnd w:id="34"/>
    <w:p>
      <w:pPr>
        <w:ind w:right="3239" w:firstLine="884"/>
        <w:spacing w:after="0" w:line="255" w:lineRule="auto"/>
        <w:tabs>
          <w:tab w:leader="none" w:pos="1312"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5.6(c), the Executive becomes entitled to receive any refund with respect to such claim, the Executive shall (subject to the Company's complying with the requirements of Section 5.6(c)) promptly pay to the Company the amount of such refund (together with any interest paid or credited thereon after taxes applicable thereto). If, after the receipt by the Executive of an amount advanced by the Company pursuant to Section 5.6(c),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1322"/>
        <w:spacing w:after="0" w:line="256" w:lineRule="auto"/>
        <w:tabs>
          <w:tab w:leader="none" w:pos="1749"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while he is employed by 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163" w:lineRule="exact"/>
        <w:rPr>
          <w:rFonts w:ascii="Courier New" w:cs="Courier New" w:eastAsia="Courier New" w:hAnsi="Courier New"/>
          <w:sz w:val="14"/>
          <w:szCs w:val="14"/>
          <w:color w:val="auto"/>
        </w:rPr>
      </w:pPr>
    </w:p>
    <w:p>
      <w:pPr>
        <w:ind w:right="3239" w:firstLine="1759"/>
        <w:spacing w:after="0" w:line="236" w:lineRule="auto"/>
        <w:tabs>
          <w:tab w:leader="none" w:pos="2274"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with any of the following businesses (the "Businesses"): (1) the storage, handling, delivery, marketing, sale, distribution or brokerage of aviation fuel, marine fuel or lubricants, aviation flight services, or marine fuel services, or (2) any other service or activity which is competitive with the services or activities which are or have been performed by the Company or its subsidiaries or affiliates since January 1, 1995;</w:t>
      </w:r>
    </w:p>
    <w:p>
      <w:pPr>
        <w:spacing w:after="0" w:line="178" w:lineRule="exact"/>
        <w:rPr>
          <w:rFonts w:ascii="Courier New" w:cs="Courier New" w:eastAsia="Courier New" w:hAnsi="Courier New"/>
          <w:sz w:val="15"/>
          <w:szCs w:val="15"/>
          <w:color w:val="auto"/>
        </w:rPr>
      </w:pPr>
    </w:p>
    <w:p>
      <w:pPr>
        <w:ind w:right="3399" w:firstLine="1759"/>
        <w:spacing w:after="0" w:line="236" w:lineRule="auto"/>
        <w:tabs>
          <w:tab w:leader="none" w:pos="2274"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 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1995, for the purpose of obtaining the patronage in any of the Businesses of any such individual, partnership, corporation or other legal entity;</w:t>
      </w:r>
    </w:p>
    <w:p>
      <w:pPr>
        <w:spacing w:after="0" w:line="175" w:lineRule="exact"/>
        <w:rPr>
          <w:rFonts w:ascii="Courier New" w:cs="Courier New" w:eastAsia="Courier New" w:hAnsi="Courier New"/>
          <w:sz w:val="15"/>
          <w:szCs w:val="15"/>
          <w:color w:val="auto"/>
        </w:rPr>
      </w:pPr>
    </w:p>
    <w:p>
      <w:pPr>
        <w:ind w:right="3239" w:firstLine="1759"/>
        <w:spacing w:after="0" w:line="256" w:lineRule="auto"/>
        <w:tabs>
          <w:tab w:leader="none" w:pos="2274" w:val="left"/>
        </w:tabs>
        <w:numPr>
          <w:ilvl w:val="3"/>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induce, or in any manner attempt to solicit or induce, any person employed by the Company or its subsidiaries or affiliates to leave such employment, whether or not such employment is pursuant to a written contract and whether or not such employment is at will; or</w:t>
      </w:r>
    </w:p>
    <w:p>
      <w:pPr>
        <w:spacing w:after="0" w:line="157" w:lineRule="exact"/>
        <w:rPr>
          <w:rFonts w:ascii="Courier New" w:cs="Courier New" w:eastAsia="Courier New" w:hAnsi="Courier New"/>
          <w:sz w:val="14"/>
          <w:szCs w:val="14"/>
          <w:color w:val="auto"/>
        </w:rPr>
      </w:pPr>
    </w:p>
    <w:p>
      <w:pPr>
        <w:ind w:left="2280" w:hanging="521"/>
        <w:spacing w:after="0"/>
        <w:tabs>
          <w:tab w:leader="none" w:pos="2280"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directly or indirectly, on behalf of himself or</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35" w:name="page36"/>
    <w:bookmarkEnd w:id="35"/>
    <w:p>
      <w:pPr>
        <w:ind w:right="3239" w:firstLine="1322"/>
        <w:spacing w:after="0" w:line="236" w:lineRule="auto"/>
        <w:tabs>
          <w:tab w:leader="none" w:pos="1662"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"Trade Area" shall mean: (i) the States of Florida, Louisiana, Georgia, Delaware, Pennsylvania, New York, California, Virginia, New Jersey, and Maryland, (ii) Singapore, Greece, South Korea, England and Costa Rica, and (iii) any airports or seaports throughout the world which are or were serviced by the Company or its subsidiaries or affiliates at any time since January 1, 1995.</w:t>
      </w:r>
    </w:p>
    <w:p>
      <w:pPr>
        <w:spacing w:after="0" w:line="174"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recognizes the importance of the 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 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164" w:lineRule="exact"/>
        <w:rPr>
          <w:rFonts w:ascii="Courier New" w:cs="Courier New" w:eastAsia="Courier New" w:hAnsi="Courier New"/>
          <w:sz w:val="14"/>
          <w:szCs w:val="14"/>
          <w:color w:val="auto"/>
        </w:rPr>
      </w:pPr>
    </w:p>
    <w:p>
      <w:pPr>
        <w:ind w:right="3239" w:firstLine="1322"/>
        <w:spacing w:after="0" w:line="255" w:lineRule="auto"/>
        <w:tabs>
          <w:tab w:leader="none" w:pos="166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commits a breach or threatens to 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165" w:lineRule="exact"/>
        <w:rPr>
          <w:rFonts w:ascii="Courier New" w:cs="Courier New" w:eastAsia="Courier New" w:hAnsi="Courier New"/>
          <w:sz w:val="14"/>
          <w:szCs w:val="14"/>
          <w:color w:val="auto"/>
        </w:rPr>
      </w:pPr>
    </w:p>
    <w:p>
      <w:pPr>
        <w:ind w:right="3319" w:firstLine="1322"/>
        <w:spacing w:after="0" w:line="255" w:lineRule="auto"/>
        <w:tabs>
          <w:tab w:leader="none" w:pos="166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covenant contained in this Section 6,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166" w:lineRule="exact"/>
        <w:rPr>
          <w:rFonts w:ascii="Courier New" w:cs="Courier New" w:eastAsia="Courier New" w:hAnsi="Courier New"/>
          <w:sz w:val="14"/>
          <w:szCs w:val="14"/>
          <w:color w:val="auto"/>
        </w:rPr>
      </w:pPr>
    </w:p>
    <w:p>
      <w:pPr>
        <w:jc w:val="both"/>
        <w:ind w:right="3239" w:firstLine="1322"/>
        <w:spacing w:after="0" w:line="235" w:lineRule="auto"/>
        <w:tabs>
          <w:tab w:leader="none" w:pos="1662"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shall survive the expiration and termination of this Agreement, and the termination of Executive's employment hereunder, for any reason.</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Nothing in this Agreement shall prevent or</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36" w:name="page37"/>
    <w:bookmarkEnd w:id="36"/>
    <w:p>
      <w:pPr>
        <w:ind w:left="800" w:hanging="353"/>
        <w:spacing w:after="0"/>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Except as specifically provided otherwise in this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The Executive shall not be obligated to seek other employment by way of mitigation of the amounts payable to the Executive under any of the provisions of this Agreement. Except as expressly provided in Section 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Bank of America in effect from time to time during the period of such nonpayment, but in no event greater than the highest interest rate permitted by law for such payments.</w:t>
      </w:r>
    </w:p>
    <w:p>
      <w:pPr>
        <w:spacing w:after="0" w:line="343" w:lineRule="exact"/>
        <w:rPr>
          <w:sz w:val="20"/>
          <w:szCs w:val="20"/>
          <w:color w:val="auto"/>
        </w:rPr>
      </w:pPr>
    </w:p>
    <w:p>
      <w:pPr>
        <w:ind w:left="800" w:hanging="353"/>
        <w:spacing w:after="0"/>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This Agreement is personal to the Executive and without the</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167" w:lineRule="exact"/>
        <w:rPr>
          <w:sz w:val="20"/>
          <w:szCs w:val="20"/>
          <w:color w:val="auto"/>
        </w:rPr>
      </w:pPr>
    </w:p>
    <w:p>
      <w:pPr>
        <w:ind w:left="800" w:hanging="353"/>
        <w:spacing w:after="0"/>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 condition of this</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 Governing Law. The validity and effect of this Agreement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shall be governed by and construed and enforced in 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37" w:name="page38"/>
    <w:bookmarkEnd w:id="37"/>
    <w:p>
      <w:pPr>
        <w:ind w:right="3579"/>
        <w:spacing w:after="0" w:line="234" w:lineRule="auto"/>
        <w:rPr>
          <w:sz w:val="20"/>
          <w:szCs w:val="20"/>
          <w:color w:val="auto"/>
        </w:rPr>
      </w:pPr>
      <w:r>
        <w:rPr>
          <w:rFonts w:ascii="Courier New" w:cs="Courier New" w:eastAsia="Courier New" w:hAnsi="Courier New"/>
          <w:sz w:val="15"/>
          <w:szCs w:val="15"/>
          <w:color w:val="auto"/>
        </w:rPr>
        <w:t>extent it may effectively do so, the defense of an inconvenient forum to the maintenance of any action in Miami, Florida.</w:t>
      </w:r>
    </w:p>
    <w:p>
      <w:pPr>
        <w:spacing w:after="0" w:line="167" w:lineRule="exact"/>
        <w:rPr>
          <w:sz w:val="20"/>
          <w:szCs w:val="20"/>
          <w:color w:val="auto"/>
        </w:rPr>
      </w:pPr>
    </w:p>
    <w:p>
      <w:pPr>
        <w:ind w:left="1680" w:hanging="358"/>
        <w:spacing w:after="0"/>
        <w:tabs>
          <w:tab w:leader="none" w:pos="16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payments and benefits under this</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168" w:lineRule="exact"/>
        <w:rPr>
          <w:sz w:val="20"/>
          <w:szCs w:val="20"/>
          <w:color w:val="auto"/>
        </w:rPr>
      </w:pPr>
    </w:p>
    <w:p>
      <w:pPr>
        <w:ind w:left="1680" w:hanging="358"/>
        <w:spacing w:after="0"/>
        <w:tabs>
          <w:tab w:leader="none" w:pos="16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 captions contained in</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this Agreement are for reference purposes only and are in no way intended to describe, interpret, define or limit the scope, extent or intent of this Agreement or any provision hereof.</w:t>
      </w:r>
    </w:p>
    <w:p>
      <w:pPr>
        <w:spacing w:after="0" w:line="167" w:lineRule="exact"/>
        <w:rPr>
          <w:sz w:val="20"/>
          <w:szCs w:val="20"/>
          <w:color w:val="auto"/>
        </w:rPr>
      </w:pPr>
    </w:p>
    <w:p>
      <w:pPr>
        <w:ind w:left="1680" w:hanging="358"/>
        <w:spacing w:after="0"/>
        <w:tabs>
          <w:tab w:leader="none" w:pos="16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Every provision of this Agreement is intended</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to be severable. If any term or provision hereof is illegal or invalid for any reason whatsoever, such illegality or invalidity shall not affect the validity of the remainder of this Agreement.</w:t>
      </w:r>
    </w:p>
    <w:p>
      <w:pPr>
        <w:spacing w:after="0" w:line="167" w:lineRule="exact"/>
        <w:rPr>
          <w:sz w:val="20"/>
          <w:szCs w:val="20"/>
          <w:color w:val="auto"/>
        </w:rPr>
      </w:pPr>
    </w:p>
    <w:p>
      <w:pPr>
        <w:ind w:left="1680" w:hanging="358"/>
        <w:spacing w:after="0"/>
        <w:tabs>
          <w:tab w:leader="none" w:pos="16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Agreement constitutes the entire</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167" w:lineRule="exact"/>
        <w:rPr>
          <w:sz w:val="20"/>
          <w:szCs w:val="20"/>
          <w:color w:val="auto"/>
        </w:rPr>
      </w:pPr>
    </w:p>
    <w:p>
      <w:pPr>
        <w:ind w:left="1680" w:hanging="358"/>
        <w:spacing w:after="0"/>
        <w:tabs>
          <w:tab w:leader="none" w:pos="16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No provision of this Agreement is to be</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(h) Notices. All notices and other communications hereunder shall</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be in writing and shall be given by hand delivery to the other party or by registered or certified mail, return receipt requested, postage prepaid, addressed as follows: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to the Executive: at the Executive's last address appearing in the</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payroll/personnel records of the Company.</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the Company:</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World Fuel Services Corporation</w:t>
      </w:r>
    </w:p>
    <w:p>
      <w:pPr>
        <w:ind w:left="880"/>
        <w:spacing w:after="0" w:line="237" w:lineRule="auto"/>
        <w:rPr>
          <w:sz w:val="20"/>
          <w:szCs w:val="20"/>
          <w:color w:val="auto"/>
        </w:rPr>
      </w:pPr>
      <w:r>
        <w:rPr>
          <w:rFonts w:ascii="Courier New" w:cs="Courier New" w:eastAsia="Courier New" w:hAnsi="Courier New"/>
          <w:sz w:val="15"/>
          <w:szCs w:val="15"/>
          <w:color w:val="auto"/>
        </w:rPr>
        <w:t>700 S. Royal Poinciana Blvd.</w:t>
      </w:r>
    </w:p>
    <w:p>
      <w:pPr>
        <w:ind w:left="880"/>
        <w:spacing w:after="0" w:line="238" w:lineRule="auto"/>
        <w:rPr>
          <w:sz w:val="20"/>
          <w:szCs w:val="20"/>
          <w:color w:val="auto"/>
        </w:rPr>
      </w:pPr>
      <w:r>
        <w:rPr>
          <w:rFonts w:ascii="Courier New" w:cs="Courier New" w:eastAsia="Courier New" w:hAnsi="Courier New"/>
          <w:sz w:val="15"/>
          <w:szCs w:val="15"/>
          <w:color w:val="auto"/>
        </w:rPr>
        <w:t>Suite 800</w:t>
      </w:r>
    </w:p>
    <w:p>
      <w:pPr>
        <w:ind w:left="880"/>
        <w:spacing w:after="0" w:line="237" w:lineRule="auto"/>
        <w:rPr>
          <w:sz w:val="20"/>
          <w:szCs w:val="20"/>
          <w:color w:val="auto"/>
        </w:rPr>
      </w:pPr>
      <w:r>
        <w:rPr>
          <w:rFonts w:ascii="Courier New" w:cs="Courier New" w:eastAsia="Courier New" w:hAnsi="Courier New"/>
          <w:sz w:val="15"/>
          <w:szCs w:val="15"/>
          <w:color w:val="auto"/>
        </w:rPr>
        <w:t>Miami Springs, FL 33166</w:t>
      </w:r>
    </w:p>
    <w:p>
      <w:pPr>
        <w:spacing w:after="0" w:line="173"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Notices and communications shall be effective when actually received by addressee.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38" w:name="page39"/>
    <w:bookmarkEnd w:id="38"/>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1" w:lineRule="exact"/>
        <w:rPr>
          <w:sz w:val="20"/>
          <w:szCs w:val="20"/>
          <w:color w:val="auto"/>
        </w:rPr>
      </w:pPr>
    </w:p>
    <w:p>
      <w:pPr>
        <w:sectPr>
          <w:pgSz w:w="11900" w:h="16838" w:orient="portrait"/>
          <w:cols w:equalWidth="0" w:num="2">
            <w:col w:w="2180" w:space="720"/>
            <w:col w:w="7339"/>
          </w:cols>
          <w:pgMar w:left="220" w:top="624" w:right="1440" w:bottom="1440" w:gutter="0" w:footer="0" w:header="0"/>
          <w:type w:val="continuous"/>
        </w:sectPr>
      </w:pPr>
    </w:p>
    <w:p>
      <w:pPr>
        <w:spacing w:after="0" w:line="7" w:lineRule="exact"/>
        <w:rPr>
          <w:sz w:val="20"/>
          <w:szCs w:val="20"/>
          <w:color w:val="auto"/>
        </w:rPr>
      </w:pPr>
    </w:p>
    <w:p>
      <w:pPr>
        <w:jc w:val="both"/>
        <w:spacing w:after="0" w:line="509" w:lineRule="auto"/>
        <w:rPr>
          <w:sz w:val="20"/>
          <w:szCs w:val="20"/>
          <w:color w:val="auto"/>
        </w:rPr>
      </w:pPr>
      <w:r>
        <w:rPr>
          <w:rFonts w:ascii="Courier New" w:cs="Courier New" w:eastAsia="Courier New" w:hAnsi="Courier New"/>
          <w:sz w:val="14"/>
          <w:szCs w:val="14"/>
          <w:color w:val="auto"/>
        </w:rPr>
        <w:t>_____________________________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Paul Stebbins</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 and Chief Operating Officer</w:t>
      </w:r>
    </w:p>
    <w:p>
      <w:pPr>
        <w:spacing w:after="0" w:line="178" w:lineRule="exact"/>
        <w:rPr>
          <w:sz w:val="20"/>
          <w:szCs w:val="20"/>
          <w:color w:val="auto"/>
        </w:rPr>
      </w:pPr>
    </w:p>
    <w:p>
      <w:pPr>
        <w:sectPr>
          <w:pgSz w:w="11900" w:h="16838" w:orient="portrait"/>
          <w:cols w:equalWidth="0" w:num="2">
            <w:col w:w="2540" w:space="360"/>
            <w:col w:w="7339"/>
          </w:cols>
          <w:pgMar w:left="220" w:top="624" w:right="1440" w:bottom="1440" w:gutter="0" w:footer="0" w:header="0"/>
          <w:type w:val="continuous"/>
        </w:sectPr>
      </w:pPr>
    </w:p>
    <w:p>
      <w:pPr>
        <w:jc w:val="both"/>
        <w:spacing w:after="0" w:line="516" w:lineRule="auto"/>
        <w:rPr>
          <w:sz w:val="20"/>
          <w:szCs w:val="20"/>
          <w:color w:val="auto"/>
        </w:rPr>
      </w:pPr>
      <w:r>
        <w:rPr>
          <w:rFonts w:ascii="Courier New" w:cs="Courier New" w:eastAsia="Courier New" w:hAnsi="Courier New"/>
          <w:sz w:val="14"/>
          <w:szCs w:val="14"/>
          <w:color w:val="auto"/>
        </w:rPr>
        <w:t>_____________________________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Michael J. Kasbar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Kasbar</w:t>
      </w:r>
    </w:p>
    <w:p>
      <w:pPr>
        <w:spacing w:after="0" w:line="237" w:lineRule="auto"/>
        <w:rPr>
          <w:sz w:val="20"/>
          <w:szCs w:val="20"/>
          <w:color w:val="auto"/>
        </w:rPr>
      </w:pPr>
      <w:r>
        <w:rPr>
          <w:rFonts w:ascii="Courier New" w:cs="Courier New" w:eastAsia="Courier New" w:hAnsi="Courier New"/>
          <w:sz w:val="15"/>
          <w:szCs w:val="15"/>
          <w:color w:val="auto"/>
        </w:rPr>
        <w:t>Executive</w:t>
      </w:r>
    </w:p>
    <w:p>
      <w:pPr>
        <w:spacing w:after="0" w:line="167" w:lineRule="exact"/>
        <w:rPr>
          <w:sz w:val="20"/>
          <w:szCs w:val="20"/>
          <w:color w:val="auto"/>
        </w:rPr>
      </w:pPr>
    </w:p>
    <w:p>
      <w:pPr>
        <w:sectPr>
          <w:pgSz w:w="11900" w:h="16838" w:orient="portrait"/>
          <w:cols w:equalWidth="0" w:num="2">
            <w:col w:w="2540" w:space="360"/>
            <w:col w:w="733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type w:val="continuous"/>
        </w:sectPr>
      </w:pPr>
    </w:p>
    <w:bookmarkStart w:id="39" w:name="page40"/>
    <w:bookmarkEnd w:id="39"/>
    <w:p>
      <w:pPr>
        <w:ind w:left="316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SEVERANCE BENEFITS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240" w:hanging="443"/>
        <w:spacing w:after="0"/>
        <w:tabs>
          <w:tab w:leader="none" w:pos="12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 The Company shall pay to the Executive the aggregate</w:t>
      </w:r>
    </w:p>
    <w:p>
      <w:pPr>
        <w:spacing w:after="0" w:line="4"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of the amounts determined pursuant to clauses (A) through (C) below:</w:t>
      </w:r>
    </w:p>
    <w:p>
      <w:pPr>
        <w:spacing w:after="0" w:line="173" w:lineRule="exact"/>
        <w:rPr>
          <w:sz w:val="20"/>
          <w:szCs w:val="20"/>
          <w:color w:val="auto"/>
        </w:rPr>
      </w:pPr>
    </w:p>
    <w:p>
      <w:pPr>
        <w:ind w:right="3679" w:firstLine="1234"/>
        <w:spacing w:after="0" w:line="261" w:lineRule="auto"/>
        <w:tabs>
          <w:tab w:leader="none" w:pos="157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already paid, the Executive's Base Salary, unused vacation entitlement and car allowance through the Date of Termination; and</w:t>
      </w:r>
    </w:p>
    <w:p>
      <w:pPr>
        <w:spacing w:after="0" w:line="159" w:lineRule="exact"/>
        <w:rPr>
          <w:rFonts w:ascii="Courier New" w:cs="Courier New" w:eastAsia="Courier New" w:hAnsi="Courier New"/>
          <w:sz w:val="14"/>
          <w:szCs w:val="14"/>
          <w:color w:val="auto"/>
        </w:rPr>
      </w:pPr>
    </w:p>
    <w:p>
      <w:pPr>
        <w:ind w:right="3319" w:firstLine="1234"/>
        <w:spacing w:after="0" w:line="236" w:lineRule="auto"/>
        <w:tabs>
          <w:tab w:leader="none" w:pos="157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annual Base Salary (the "Base Amount") payable to the Executive immediately prior to the Date of Termination, multiplied by three (3) if the termination is pursuant to Section 5.4 hereof on or before the third anniversary following a Change of Control, or otherwise multiplied by two (2);</w:t>
      </w:r>
    </w:p>
    <w:p>
      <w:pPr>
        <w:spacing w:after="0" w:line="173" w:lineRule="exact"/>
        <w:rPr>
          <w:rFonts w:ascii="Courier New" w:cs="Courier New" w:eastAsia="Courier New" w:hAnsi="Courier New"/>
          <w:sz w:val="15"/>
          <w:szCs w:val="15"/>
          <w:color w:val="auto"/>
        </w:rPr>
      </w:pPr>
    </w:p>
    <w:p>
      <w:pPr>
        <w:ind w:right="3319" w:firstLine="1234"/>
        <w:spacing w:after="0" w:line="255" w:lineRule="auto"/>
        <w:tabs>
          <w:tab w:leader="none" w:pos="157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product of (x) the average annual bonus payable to the Executive for the three (3) fiscal years beginning on or after April 1, 2001 (or such lesser number of full fiscal years as shall have been completed after April 1, 2001) immediately preceding the fiscal year of termination, multiplied by (y) three (3) if the termination is pursuant to Section 5.4 hereof on or before the third anniversary following a Change of Control, or otherwise multiplied by two (2); provided, however, that for these purposes, the bonus payable by the Company to the Executive for the fiscal year ending March 31, 2002 shall be equal to the sum of (i) 75% of the bonus payable to the Executive pursuant to Section 2.2(a) for the calendar year 2001 plus the bonus payable by the Company to the Executive under Section 2.2(b) for the period from January 1, 2002 through March 31, 2002 and provided further that if the Date of Termination occurs prior to April 1, 2002, the amount payable pursuant to this clause (C) shall be $500,000.</w:t>
      </w:r>
    </w:p>
    <w:p>
      <w:pPr>
        <w:spacing w:after="0" w:line="164" w:lineRule="exact"/>
        <w:rPr>
          <w:sz w:val="20"/>
          <w:szCs w:val="20"/>
          <w:color w:val="auto"/>
        </w:rPr>
      </w:pPr>
    </w:p>
    <w:p>
      <w:pPr>
        <w:ind w:right="3499" w:firstLine="1224"/>
        <w:spacing w:after="0" w:line="235" w:lineRule="auto"/>
        <w:rPr>
          <w:sz w:val="20"/>
          <w:szCs w:val="20"/>
          <w:color w:val="auto"/>
        </w:rPr>
      </w:pPr>
      <w:r>
        <w:rPr>
          <w:rFonts w:ascii="Courier New" w:cs="Courier New" w:eastAsia="Courier New" w:hAnsi="Courier New"/>
          <w:sz w:val="15"/>
          <w:szCs w:val="15"/>
          <w:color w:val="auto"/>
        </w:rPr>
        <w:t>The Company shall pay to the Executive the aggregate of the amounts determined pursuant to clauses (A) through (C) above in a lump sum by cashier's check within five (5) business days after the Executive's Date of Termination.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(II) Medical, Dental, Disability, Life Insurance and Other Similar</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Plans and Programs. Until the earlier to occur of (i) the last day of the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 (5) 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 providing the Executive and/or his family with the opportunity to receive benefits at least equal to the greatest level of benefits provided by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40" w:name="page41"/>
    <w:bookmarkEnd w:id="40"/>
    <w:p>
      <w:pPr>
        <w:ind w:right="3239"/>
        <w:spacing w:after="0" w:line="236" w:lineRule="auto"/>
        <w:rPr>
          <w:sz w:val="20"/>
          <w:szCs w:val="20"/>
          <w:color w:val="auto"/>
        </w:rPr>
      </w:pPr>
      <w:r>
        <w:rPr>
          <w:rFonts w:ascii="Courier New" w:cs="Courier New" w:eastAsia="Courier New" w:hAnsi="Courier New"/>
          <w:sz w:val="15"/>
          <w:szCs w:val="15"/>
          <w:color w:val="auto"/>
        </w:rPr>
        <w:t>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172" w:lineRule="exact"/>
        <w:rPr>
          <w:sz w:val="20"/>
          <w:szCs w:val="20"/>
          <w:color w:val="auto"/>
        </w:rPr>
      </w:pPr>
    </w:p>
    <w:p>
      <w:pPr>
        <w:ind w:left="1320" w:hanging="523"/>
        <w:spacing w:after="0"/>
        <w:tabs>
          <w:tab w:leader="none" w:pos="13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Rights. If the Executive is a participant in</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w:t>
      </w:r>
    </w:p>
    <w:p>
      <w:pPr>
        <w:spacing w:after="0" w:line="169" w:lineRule="exact"/>
        <w:rPr>
          <w:sz w:val="20"/>
          <w:szCs w:val="20"/>
          <w:color w:val="auto"/>
        </w:rPr>
      </w:pPr>
    </w:p>
    <w:p>
      <w:pPr>
        <w:jc w:val="right"/>
        <w:ind w:right="3239"/>
        <w:spacing w:after="0"/>
        <w:tabs>
          <w:tab w:leader="none" w:pos="56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Deferred Compensation. The Company shall pay to the Executive the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157" w:lineRule="exact"/>
        <w:rPr>
          <w:sz w:val="20"/>
          <w:szCs w:val="20"/>
          <w:color w:val="auto"/>
        </w:rPr>
      </w:pPr>
    </w:p>
    <w:p>
      <w:pPr>
        <w:ind w:left="1320" w:hanging="523"/>
        <w:spacing w:after="0"/>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Severance Period. For purposes of this Exhibit A,</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term "Severance Period" shall mean the three (3) year period immediately following the Date of Termination, if the termination is pursuant to Section 5.4 of the Agreement following a Change of Control, or the two (2) year period immediately following the Date of Termination in the case of any other termination.</w:t>
      </w:r>
    </w:p>
    <w:p>
      <w:pPr>
        <w:spacing w:after="0" w:line="167" w:lineRule="exact"/>
        <w:rPr>
          <w:sz w:val="20"/>
          <w:szCs w:val="20"/>
          <w:color w:val="auto"/>
        </w:rPr>
      </w:pPr>
    </w:p>
    <w:p>
      <w:pPr>
        <w:jc w:val="right"/>
        <w:ind w:right="3239"/>
        <w:spacing w:after="0"/>
        <w:tabs>
          <w:tab w:leader="none" w:pos="56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4"/>
          <w:szCs w:val="14"/>
          <w:color w:val="auto"/>
        </w:rPr>
        <w:t>Taxes. Notwithstanding anything in the foregoing to the contrary,</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if (x) a Change of Control occurs on or after January 1, 2003, and (y) the Executive's employment with the Company terminates on or before the third anniversary of such Change of Control, then the Company shall not be obligated to pay any portion of the amounts otherwise payable to the Executive pursuant to Section 5.4 of this Agreement (the "Section 5.4 Severance Benefits"), on account of such termination, if and only to the extent that the Company could not reasonably deduct such portion solely by operation of Section 280G of the Internal Revenue Code of 1986, as amended (the "Code"). For purposes of this limitation: (i) no portion of the Section 5.4 Severance Benefits, the receipt or enjoyment of which the Executive shall have effectively waived in writing prior to the date of payment, shall be taken into account; (ii) no portion of any Section 5.4 Severance Benefits shall be taken into account which, in the opinion of tax counsel selected by the Company's independent auditors and acceptable to the Executive, does not constitute a "parachute payment" within the meaning of Section 280G(b)(2) of the Code; (iii) the Section 5.4 Severance Benefits to the Executive shall be reduced only to the extent necessary so that the total Section 5.4 Severance Benefits (other than those referred to in clause (i) or</w:t>
      </w:r>
    </w:p>
    <w:p>
      <w:pPr>
        <w:spacing w:after="0" w:line="6" w:lineRule="exact"/>
        <w:rPr>
          <w:sz w:val="20"/>
          <w:szCs w:val="20"/>
          <w:color w:val="auto"/>
        </w:rPr>
      </w:pPr>
    </w:p>
    <w:p>
      <w:pPr>
        <w:ind w:right="3239" w:firstLine="10"/>
        <w:spacing w:after="0" w:line="255" w:lineRule="auto"/>
        <w:tabs>
          <w:tab w:leader="none" w:pos="43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their entirety constitute reasonable compensation for services actually rendered within the meaning of Section 280G(b) (4) of the Code, in the opinion of the tax counsel referred to in clause (ii); and (iv) the value of any non-cash benefit or any deferred payment or benefit included in the Section 5.4 Severance Benefits shall be determined by the Company's independent auditors in accordance with the principles of Sections 280G(d)(3) and (4) of the Code.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Dated as of the 11th day of October, 2001.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Kasbar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Michael J. Kasbar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 SERVICES CORPORATION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Paul Stebbins</w:t>
      </w:r>
    </w:p>
    <w:p>
      <w:pPr>
        <w:ind w:left="3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 and Chief Operating Officer</w:t>
      </w:r>
    </w:p>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439"/>
          </w:cols>
          <w:pgMar w:left="1020" w:top="617" w:right="1440" w:bottom="1440" w:gutter="0" w:footer="0" w:header="0"/>
        </w:sectPr>
      </w:pPr>
    </w:p>
    <w:bookmarkStart w:id="42" w:name="page43"/>
    <w:bookmarkEnd w:id="42"/>
    <w:p>
      <w:pPr>
        <w:ind w:left="5700"/>
        <w:spacing w:after="0"/>
        <w:rPr>
          <w:sz w:val="20"/>
          <w:szCs w:val="20"/>
          <w:color w:val="auto"/>
        </w:rPr>
      </w:pPr>
      <w:r>
        <w:rPr>
          <w:rFonts w:ascii="Courier New" w:cs="Courier New" w:eastAsia="Courier New" w:hAnsi="Courier New"/>
          <w:sz w:val="14"/>
          <w:szCs w:val="14"/>
          <w:color w:val="auto"/>
        </w:rPr>
        <w:t>Exhibit (10)(b)</w:t>
      </w:r>
    </w:p>
    <w:p>
      <w:pPr>
        <w:spacing w:after="0" w:line="17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CREDIT AGREEMENT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dated as of December 7, 2001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LASALLE BANK NATIONAL ASSOCIATION</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8" w:right="1440" w:bottom="1440" w:gutter="0" w:footer="0" w:header="0"/>
        </w:sectPr>
      </w:pPr>
    </w:p>
    <w:bookmarkStart w:id="43" w:name="page44"/>
    <w:bookmarkEnd w:id="43"/>
    <w:p>
      <w:pPr>
        <w:ind w:left="200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spacing w:after="0"/>
        <w:tabs>
          <w:tab w:leader="dot" w:pos="8280" w:val="left"/>
        </w:tabs>
        <w:rPr>
          <w:sz w:val="20"/>
          <w:szCs w:val="20"/>
          <w:color w:val="auto"/>
        </w:rPr>
      </w:pPr>
      <w:r>
        <w:rPr>
          <w:rFonts w:ascii="Courier New" w:cs="Courier New" w:eastAsia="Courier New" w:hAnsi="Courier New"/>
          <w:sz w:val="15"/>
          <w:szCs w:val="15"/>
          <w:color w:val="auto"/>
        </w:rPr>
        <w:t>SECTION 1 DEFINITIONS</w:t>
      </w:r>
      <w:r>
        <w:rPr>
          <w:sz w:val="20"/>
          <w:szCs w:val="20"/>
          <w:color w:val="auto"/>
        </w:rPr>
        <w:tab/>
      </w:r>
      <w:r>
        <w:rPr>
          <w:rFonts w:ascii="Courier New" w:cs="Courier New" w:eastAsia="Courier New" w:hAnsi="Courier New"/>
          <w:sz w:val="15"/>
          <w:szCs w:val="15"/>
          <w:color w:val="auto"/>
        </w:rPr>
        <w:t>1</w:t>
      </w:r>
    </w:p>
    <w:p>
      <w:pPr>
        <w:ind w:left="520"/>
        <w:spacing w:after="0" w:line="237" w:lineRule="auto"/>
        <w:tabs>
          <w:tab w:leader="dot" w:pos="8280" w:val="left"/>
        </w:tabs>
        <w:rPr>
          <w:sz w:val="20"/>
          <w:szCs w:val="20"/>
          <w:color w:val="auto"/>
        </w:rPr>
      </w:pPr>
      <w:r>
        <w:rPr>
          <w:rFonts w:ascii="Courier New" w:cs="Courier New" w:eastAsia="Courier New" w:hAnsi="Courier New"/>
          <w:sz w:val="15"/>
          <w:szCs w:val="15"/>
          <w:color w:val="auto"/>
        </w:rPr>
        <w:t>1.1 Definitions</w:t>
      </w:r>
      <w:r>
        <w:rPr>
          <w:sz w:val="20"/>
          <w:szCs w:val="20"/>
          <w:color w:val="auto"/>
        </w:rPr>
        <w:tab/>
      </w:r>
      <w:r>
        <w:rPr>
          <w:rFonts w:ascii="Courier New" w:cs="Courier New" w:eastAsia="Courier New" w:hAnsi="Courier New"/>
          <w:sz w:val="15"/>
          <w:szCs w:val="15"/>
          <w:color w:val="auto"/>
        </w:rPr>
        <w:t>1</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1.2 Other Interpretive Provisions</w:t>
      </w:r>
      <w:r>
        <w:rPr>
          <w:sz w:val="20"/>
          <w:szCs w:val="20"/>
          <w:color w:val="auto"/>
        </w:rPr>
        <w:tab/>
      </w:r>
      <w:r>
        <w:rPr>
          <w:rFonts w:ascii="Courier New" w:cs="Courier New" w:eastAsia="Courier New" w:hAnsi="Courier New"/>
          <w:sz w:val="15"/>
          <w:szCs w:val="15"/>
          <w:color w:val="auto"/>
        </w:rPr>
        <w:t>10</w:t>
      </w:r>
    </w:p>
    <w:p>
      <w:pPr>
        <w:spacing w:after="0" w:line="237" w:lineRule="auto"/>
        <w:tabs>
          <w:tab w:leader="dot" w:pos="8200" w:val="left"/>
        </w:tabs>
        <w:rPr>
          <w:sz w:val="20"/>
          <w:szCs w:val="20"/>
          <w:color w:val="auto"/>
        </w:rPr>
      </w:pPr>
      <w:r>
        <w:rPr>
          <w:rFonts w:ascii="Courier New" w:cs="Courier New" w:eastAsia="Courier New" w:hAnsi="Courier New"/>
          <w:sz w:val="15"/>
          <w:szCs w:val="15"/>
          <w:color w:val="auto"/>
        </w:rPr>
        <w:t>SECTION 2 COMMITMENT OF THE BANK; BORROWING, CONVERSION AND LETTER OF CREDIT PROCEDURES</w:t>
      </w:r>
      <w:r>
        <w:rPr>
          <w:sz w:val="20"/>
          <w:szCs w:val="20"/>
          <w:color w:val="auto"/>
        </w:rPr>
        <w:tab/>
      </w:r>
      <w:r>
        <w:rPr>
          <w:rFonts w:ascii="Courier New" w:cs="Courier New" w:eastAsia="Courier New" w:hAnsi="Courier New"/>
          <w:sz w:val="15"/>
          <w:szCs w:val="15"/>
          <w:color w:val="auto"/>
        </w:rPr>
        <w:t>11</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2.1 Commitment</w:t>
      </w:r>
      <w:r>
        <w:rPr>
          <w:sz w:val="20"/>
          <w:szCs w:val="20"/>
          <w:color w:val="auto"/>
        </w:rPr>
        <w:tab/>
      </w:r>
      <w:r>
        <w:rPr>
          <w:rFonts w:ascii="Courier New" w:cs="Courier New" w:eastAsia="Courier New" w:hAnsi="Courier New"/>
          <w:sz w:val="15"/>
          <w:szCs w:val="15"/>
          <w:color w:val="auto"/>
        </w:rPr>
        <w:t>11</w:t>
      </w:r>
    </w:p>
    <w:p>
      <w:pPr>
        <w:jc w:val="right"/>
        <w:ind w:right="1039"/>
        <w:spacing w:after="0" w:line="237" w:lineRule="auto"/>
        <w:tabs>
          <w:tab w:leader="dot" w:pos="160" w:val="left"/>
        </w:tabs>
        <w:rPr>
          <w:sz w:val="20"/>
          <w:szCs w:val="20"/>
          <w:color w:val="auto"/>
        </w:rPr>
      </w:pPr>
      <w:r>
        <w:rPr>
          <w:rFonts w:ascii="Courier New" w:cs="Courier New" w:eastAsia="Courier New" w:hAnsi="Courier New"/>
          <w:sz w:val="15"/>
          <w:szCs w:val="15"/>
          <w:color w:val="auto"/>
        </w:rPr>
        <w:t>2.1.1 Revolving Loan Commitment</w:t>
      </w:r>
      <w:r>
        <w:rPr>
          <w:sz w:val="20"/>
          <w:szCs w:val="20"/>
          <w:color w:val="auto"/>
        </w:rPr>
        <w:tab/>
      </w:r>
      <w:r>
        <w:rPr>
          <w:rFonts w:ascii="Courier New" w:cs="Courier New" w:eastAsia="Courier New" w:hAnsi="Courier New"/>
          <w:sz w:val="15"/>
          <w:szCs w:val="15"/>
          <w:color w:val="auto"/>
        </w:rPr>
        <w:t>11</w:t>
      </w:r>
    </w:p>
    <w:p>
      <w:pPr>
        <w:jc w:val="right"/>
        <w:ind w:right="1039"/>
        <w:spacing w:after="0" w:line="238" w:lineRule="auto"/>
        <w:tabs>
          <w:tab w:leader="dot" w:pos="160" w:val="left"/>
        </w:tabs>
        <w:rPr>
          <w:sz w:val="20"/>
          <w:szCs w:val="20"/>
          <w:color w:val="auto"/>
        </w:rPr>
      </w:pPr>
      <w:r>
        <w:rPr>
          <w:rFonts w:ascii="Courier New" w:cs="Courier New" w:eastAsia="Courier New" w:hAnsi="Courier New"/>
          <w:sz w:val="15"/>
          <w:szCs w:val="15"/>
          <w:color w:val="auto"/>
        </w:rPr>
        <w:t>2.1.2 Letter of Credit Commitment</w:t>
      </w:r>
      <w:r>
        <w:rPr>
          <w:sz w:val="20"/>
          <w:szCs w:val="20"/>
          <w:color w:val="auto"/>
        </w:rPr>
        <w:tab/>
      </w:r>
      <w:r>
        <w:rPr>
          <w:rFonts w:ascii="Courier New" w:cs="Courier New" w:eastAsia="Courier New" w:hAnsi="Courier New"/>
          <w:sz w:val="15"/>
          <w:szCs w:val="15"/>
          <w:color w:val="auto"/>
        </w:rPr>
        <w:t>11</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2.2 Loan Procedures</w:t>
      </w:r>
      <w:r>
        <w:rPr>
          <w:sz w:val="20"/>
          <w:szCs w:val="20"/>
          <w:color w:val="auto"/>
        </w:rPr>
        <w:tab/>
      </w:r>
      <w:r>
        <w:rPr>
          <w:rFonts w:ascii="Courier New" w:cs="Courier New" w:eastAsia="Courier New" w:hAnsi="Courier New"/>
          <w:sz w:val="15"/>
          <w:szCs w:val="15"/>
          <w:color w:val="auto"/>
        </w:rPr>
        <w:t>11</w:t>
      </w:r>
    </w:p>
    <w:p>
      <w:pPr>
        <w:jc w:val="right"/>
        <w:ind w:right="1039"/>
        <w:spacing w:after="0" w:line="238" w:lineRule="auto"/>
        <w:tabs>
          <w:tab w:leader="dot" w:pos="160" w:val="left"/>
        </w:tabs>
        <w:rPr>
          <w:sz w:val="20"/>
          <w:szCs w:val="20"/>
          <w:color w:val="auto"/>
        </w:rPr>
      </w:pPr>
      <w:r>
        <w:rPr>
          <w:rFonts w:ascii="Courier New" w:cs="Courier New" w:eastAsia="Courier New" w:hAnsi="Courier New"/>
          <w:sz w:val="15"/>
          <w:szCs w:val="15"/>
          <w:color w:val="auto"/>
        </w:rPr>
        <w:t>2.2.1 Various Types of Loans</w:t>
      </w:r>
      <w:r>
        <w:rPr>
          <w:sz w:val="20"/>
          <w:szCs w:val="20"/>
          <w:color w:val="auto"/>
        </w:rPr>
        <w:tab/>
      </w:r>
      <w:r>
        <w:rPr>
          <w:rFonts w:ascii="Courier New" w:cs="Courier New" w:eastAsia="Courier New" w:hAnsi="Courier New"/>
          <w:sz w:val="15"/>
          <w:szCs w:val="15"/>
          <w:color w:val="auto"/>
        </w:rPr>
        <w:t>12</w:t>
      </w:r>
    </w:p>
    <w:p>
      <w:pPr>
        <w:jc w:val="right"/>
        <w:ind w:right="1039"/>
        <w:spacing w:after="0" w:line="238" w:lineRule="auto"/>
        <w:tabs>
          <w:tab w:leader="dot" w:pos="160" w:val="left"/>
        </w:tabs>
        <w:rPr>
          <w:sz w:val="20"/>
          <w:szCs w:val="20"/>
          <w:color w:val="auto"/>
        </w:rPr>
      </w:pPr>
      <w:r>
        <w:rPr>
          <w:rFonts w:ascii="Courier New" w:cs="Courier New" w:eastAsia="Courier New" w:hAnsi="Courier New"/>
          <w:sz w:val="15"/>
          <w:szCs w:val="15"/>
          <w:color w:val="auto"/>
        </w:rPr>
        <w:t>2.2.2 Borrowing Procedures</w:t>
      </w:r>
      <w:r>
        <w:rPr>
          <w:sz w:val="20"/>
          <w:szCs w:val="20"/>
          <w:color w:val="auto"/>
        </w:rPr>
        <w:tab/>
      </w:r>
      <w:r>
        <w:rPr>
          <w:rFonts w:ascii="Courier New" w:cs="Courier New" w:eastAsia="Courier New" w:hAnsi="Courier New"/>
          <w:sz w:val="15"/>
          <w:szCs w:val="15"/>
          <w:color w:val="auto"/>
        </w:rPr>
        <w:t>12</w:t>
      </w:r>
    </w:p>
    <w:p>
      <w:pPr>
        <w:jc w:val="right"/>
        <w:ind w:right="1039"/>
        <w:spacing w:after="0" w:line="237" w:lineRule="auto"/>
        <w:tabs>
          <w:tab w:leader="dot" w:pos="160" w:val="left"/>
        </w:tabs>
        <w:rPr>
          <w:sz w:val="20"/>
          <w:szCs w:val="20"/>
          <w:color w:val="auto"/>
        </w:rPr>
      </w:pPr>
      <w:r>
        <w:rPr>
          <w:rFonts w:ascii="Courier New" w:cs="Courier New" w:eastAsia="Courier New" w:hAnsi="Courier New"/>
          <w:sz w:val="15"/>
          <w:szCs w:val="15"/>
          <w:color w:val="auto"/>
        </w:rPr>
        <w:t>2.2.3 Conversion and Continuation Procedures</w:t>
      </w:r>
      <w:r>
        <w:rPr>
          <w:sz w:val="20"/>
          <w:szCs w:val="20"/>
          <w:color w:val="auto"/>
        </w:rPr>
        <w:tab/>
      </w:r>
      <w:r>
        <w:rPr>
          <w:rFonts w:ascii="Courier New" w:cs="Courier New" w:eastAsia="Courier New" w:hAnsi="Courier New"/>
          <w:sz w:val="15"/>
          <w:szCs w:val="15"/>
          <w:color w:val="auto"/>
        </w:rPr>
        <w:t>12</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2.3 Letter of Credit Procedures</w:t>
      </w:r>
      <w:r>
        <w:rPr>
          <w:sz w:val="20"/>
          <w:szCs w:val="20"/>
          <w:color w:val="auto"/>
        </w:rPr>
        <w:tab/>
      </w:r>
      <w:r>
        <w:rPr>
          <w:rFonts w:ascii="Courier New" w:cs="Courier New" w:eastAsia="Courier New" w:hAnsi="Courier New"/>
          <w:sz w:val="15"/>
          <w:szCs w:val="15"/>
          <w:color w:val="auto"/>
        </w:rPr>
        <w:t>13</w:t>
      </w:r>
    </w:p>
    <w:p>
      <w:pPr>
        <w:jc w:val="right"/>
        <w:ind w:right="1039"/>
        <w:spacing w:after="0" w:line="237" w:lineRule="auto"/>
        <w:tabs>
          <w:tab w:leader="dot" w:pos="160" w:val="left"/>
        </w:tabs>
        <w:rPr>
          <w:sz w:val="20"/>
          <w:szCs w:val="20"/>
          <w:color w:val="auto"/>
        </w:rPr>
      </w:pPr>
      <w:r>
        <w:rPr>
          <w:rFonts w:ascii="Courier New" w:cs="Courier New" w:eastAsia="Courier New" w:hAnsi="Courier New"/>
          <w:sz w:val="15"/>
          <w:szCs w:val="15"/>
          <w:color w:val="auto"/>
        </w:rPr>
        <w:t>2.3.1 Letter of Credit Applications</w:t>
      </w:r>
      <w:r>
        <w:rPr>
          <w:sz w:val="20"/>
          <w:szCs w:val="20"/>
          <w:color w:val="auto"/>
        </w:rPr>
        <w:tab/>
      </w:r>
      <w:r>
        <w:rPr>
          <w:rFonts w:ascii="Courier New" w:cs="Courier New" w:eastAsia="Courier New" w:hAnsi="Courier New"/>
          <w:sz w:val="15"/>
          <w:szCs w:val="15"/>
          <w:color w:val="auto"/>
        </w:rPr>
        <w:t>13</w:t>
      </w:r>
    </w:p>
    <w:p>
      <w:pPr>
        <w:jc w:val="right"/>
        <w:ind w:right="1039"/>
        <w:spacing w:after="0" w:line="238" w:lineRule="auto"/>
        <w:tabs>
          <w:tab w:leader="dot" w:pos="160" w:val="left"/>
        </w:tabs>
        <w:rPr>
          <w:sz w:val="20"/>
          <w:szCs w:val="20"/>
          <w:color w:val="auto"/>
        </w:rPr>
      </w:pPr>
      <w:r>
        <w:rPr>
          <w:rFonts w:ascii="Courier New" w:cs="Courier New" w:eastAsia="Courier New" w:hAnsi="Courier New"/>
          <w:sz w:val="15"/>
          <w:szCs w:val="15"/>
          <w:color w:val="auto"/>
        </w:rPr>
        <w:t>2.3.2 Reimbursement Obligations</w:t>
      </w:r>
      <w:r>
        <w:rPr>
          <w:sz w:val="20"/>
          <w:szCs w:val="20"/>
          <w:color w:val="auto"/>
        </w:rPr>
        <w:tab/>
      </w:r>
      <w:r>
        <w:rPr>
          <w:rFonts w:ascii="Courier New" w:cs="Courier New" w:eastAsia="Courier New" w:hAnsi="Courier New"/>
          <w:sz w:val="15"/>
          <w:szCs w:val="15"/>
          <w:color w:val="auto"/>
        </w:rPr>
        <w:t>13</w:t>
      </w:r>
    </w:p>
    <w:p>
      <w:pPr>
        <w:jc w:val="right"/>
        <w:ind w:right="1039"/>
        <w:spacing w:after="0" w:line="237" w:lineRule="auto"/>
        <w:tabs>
          <w:tab w:leader="dot" w:pos="160" w:val="left"/>
        </w:tabs>
        <w:rPr>
          <w:sz w:val="20"/>
          <w:szCs w:val="20"/>
          <w:color w:val="auto"/>
        </w:rPr>
      </w:pPr>
      <w:r>
        <w:rPr>
          <w:rFonts w:ascii="Courier New" w:cs="Courier New" w:eastAsia="Courier New" w:hAnsi="Courier New"/>
          <w:sz w:val="15"/>
          <w:szCs w:val="15"/>
          <w:color w:val="auto"/>
        </w:rPr>
        <w:t>2.3.3 Limitation on Obligations of Bank</w:t>
      </w:r>
      <w:r>
        <w:rPr>
          <w:sz w:val="20"/>
          <w:szCs w:val="20"/>
          <w:color w:val="auto"/>
        </w:rPr>
        <w:tab/>
      </w:r>
      <w:r>
        <w:rPr>
          <w:rFonts w:ascii="Courier New" w:cs="Courier New" w:eastAsia="Courier New" w:hAnsi="Courier New"/>
          <w:sz w:val="15"/>
          <w:szCs w:val="15"/>
          <w:color w:val="auto"/>
        </w:rPr>
        <w:t>14</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2.4 Certain Conditions</w:t>
      </w:r>
      <w:r>
        <w:rPr>
          <w:sz w:val="20"/>
          <w:szCs w:val="20"/>
          <w:color w:val="auto"/>
        </w:rPr>
        <w:tab/>
      </w:r>
      <w:r>
        <w:rPr>
          <w:rFonts w:ascii="Courier New" w:cs="Courier New" w:eastAsia="Courier New" w:hAnsi="Courier New"/>
          <w:sz w:val="15"/>
          <w:szCs w:val="15"/>
          <w:color w:val="auto"/>
        </w:rPr>
        <w:t>14</w:t>
      </w:r>
    </w:p>
    <w:p>
      <w:pPr>
        <w:spacing w:after="0" w:line="238" w:lineRule="auto"/>
        <w:tabs>
          <w:tab w:leader="dot" w:pos="8200" w:val="left"/>
        </w:tabs>
        <w:rPr>
          <w:sz w:val="20"/>
          <w:szCs w:val="20"/>
          <w:color w:val="auto"/>
        </w:rPr>
      </w:pPr>
      <w:r>
        <w:rPr>
          <w:rFonts w:ascii="Courier New" w:cs="Courier New" w:eastAsia="Courier New" w:hAnsi="Courier New"/>
          <w:sz w:val="15"/>
          <w:szCs w:val="15"/>
          <w:color w:val="auto"/>
        </w:rPr>
        <w:t>SECTION 3 NOTES EVIDENCING LOANS</w:t>
      </w:r>
      <w:r>
        <w:rPr>
          <w:sz w:val="20"/>
          <w:szCs w:val="20"/>
          <w:color w:val="auto"/>
        </w:rPr>
        <w:tab/>
      </w:r>
      <w:r>
        <w:rPr>
          <w:rFonts w:ascii="Courier New" w:cs="Courier New" w:eastAsia="Courier New" w:hAnsi="Courier New"/>
          <w:sz w:val="15"/>
          <w:szCs w:val="15"/>
          <w:color w:val="auto"/>
        </w:rPr>
        <w:t>14</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3.1 Notes</w:t>
      </w:r>
      <w:r>
        <w:rPr>
          <w:sz w:val="20"/>
          <w:szCs w:val="20"/>
          <w:color w:val="auto"/>
        </w:rPr>
        <w:tab/>
      </w:r>
      <w:r>
        <w:rPr>
          <w:rFonts w:ascii="Courier New" w:cs="Courier New" w:eastAsia="Courier New" w:hAnsi="Courier New"/>
          <w:sz w:val="15"/>
          <w:szCs w:val="15"/>
          <w:color w:val="auto"/>
        </w:rPr>
        <w:t>14</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3.2 Recordkeeping</w:t>
      </w:r>
      <w:r>
        <w:rPr>
          <w:sz w:val="20"/>
          <w:szCs w:val="20"/>
          <w:color w:val="auto"/>
        </w:rPr>
        <w:tab/>
      </w:r>
      <w:r>
        <w:rPr>
          <w:rFonts w:ascii="Courier New" w:cs="Courier New" w:eastAsia="Courier New" w:hAnsi="Courier New"/>
          <w:sz w:val="15"/>
          <w:szCs w:val="15"/>
          <w:color w:val="auto"/>
        </w:rPr>
        <w:t>14</w:t>
      </w:r>
    </w:p>
    <w:p>
      <w:pPr>
        <w:spacing w:after="0" w:line="237" w:lineRule="auto"/>
        <w:tabs>
          <w:tab w:leader="dot" w:pos="8200" w:val="left"/>
        </w:tabs>
        <w:rPr>
          <w:sz w:val="20"/>
          <w:szCs w:val="20"/>
          <w:color w:val="auto"/>
        </w:rPr>
      </w:pPr>
      <w:r>
        <w:rPr>
          <w:rFonts w:ascii="Courier New" w:cs="Courier New" w:eastAsia="Courier New" w:hAnsi="Courier New"/>
          <w:sz w:val="15"/>
          <w:szCs w:val="15"/>
          <w:color w:val="auto"/>
        </w:rPr>
        <w:t>SECTION 4 INTEREST</w:t>
      </w:r>
      <w:r>
        <w:rPr>
          <w:sz w:val="20"/>
          <w:szCs w:val="20"/>
          <w:color w:val="auto"/>
        </w:rPr>
        <w:tab/>
      </w:r>
      <w:r>
        <w:rPr>
          <w:rFonts w:ascii="Courier New" w:cs="Courier New" w:eastAsia="Courier New" w:hAnsi="Courier New"/>
          <w:sz w:val="15"/>
          <w:szCs w:val="15"/>
          <w:color w:val="auto"/>
        </w:rPr>
        <w:t>15</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4.1 Interest Rates</w:t>
      </w:r>
      <w:r>
        <w:rPr>
          <w:sz w:val="20"/>
          <w:szCs w:val="20"/>
          <w:color w:val="auto"/>
        </w:rPr>
        <w:tab/>
      </w:r>
      <w:r>
        <w:rPr>
          <w:rFonts w:ascii="Courier New" w:cs="Courier New" w:eastAsia="Courier New" w:hAnsi="Courier New"/>
          <w:sz w:val="15"/>
          <w:szCs w:val="15"/>
          <w:color w:val="auto"/>
        </w:rPr>
        <w:t>15</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4.2 Interest Payment Dates</w:t>
      </w:r>
      <w:r>
        <w:rPr>
          <w:sz w:val="20"/>
          <w:szCs w:val="20"/>
          <w:color w:val="auto"/>
        </w:rPr>
        <w:tab/>
      </w:r>
      <w:r>
        <w:rPr>
          <w:rFonts w:ascii="Courier New" w:cs="Courier New" w:eastAsia="Courier New" w:hAnsi="Courier New"/>
          <w:sz w:val="15"/>
          <w:szCs w:val="15"/>
          <w:color w:val="auto"/>
        </w:rPr>
        <w:t>15</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4.3 Setting and Notice of Eurodollar Rates</w:t>
      </w:r>
      <w:r>
        <w:rPr>
          <w:sz w:val="20"/>
          <w:szCs w:val="20"/>
          <w:color w:val="auto"/>
        </w:rPr>
        <w:tab/>
      </w:r>
      <w:r>
        <w:rPr>
          <w:rFonts w:ascii="Courier New" w:cs="Courier New" w:eastAsia="Courier New" w:hAnsi="Courier New"/>
          <w:sz w:val="15"/>
          <w:szCs w:val="15"/>
          <w:color w:val="auto"/>
        </w:rPr>
        <w:t>15</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4.4 Computation of Interest</w:t>
      </w:r>
      <w:r>
        <w:rPr>
          <w:sz w:val="20"/>
          <w:szCs w:val="20"/>
          <w:color w:val="auto"/>
        </w:rPr>
        <w:tab/>
      </w:r>
      <w:r>
        <w:rPr>
          <w:rFonts w:ascii="Courier New" w:cs="Courier New" w:eastAsia="Courier New" w:hAnsi="Courier New"/>
          <w:sz w:val="15"/>
          <w:szCs w:val="15"/>
          <w:color w:val="auto"/>
        </w:rPr>
        <w:t>15</w:t>
      </w:r>
    </w:p>
    <w:p>
      <w:pPr>
        <w:spacing w:after="0" w:line="237" w:lineRule="auto"/>
        <w:tabs>
          <w:tab w:leader="dot" w:pos="8200" w:val="left"/>
        </w:tabs>
        <w:rPr>
          <w:sz w:val="20"/>
          <w:szCs w:val="20"/>
          <w:color w:val="auto"/>
        </w:rPr>
      </w:pPr>
      <w:r>
        <w:rPr>
          <w:rFonts w:ascii="Courier New" w:cs="Courier New" w:eastAsia="Courier New" w:hAnsi="Courier New"/>
          <w:sz w:val="15"/>
          <w:szCs w:val="15"/>
          <w:color w:val="auto"/>
        </w:rPr>
        <w:t>SECTION 5 FEES</w:t>
      </w:r>
      <w:r>
        <w:rPr>
          <w:sz w:val="20"/>
          <w:szCs w:val="20"/>
          <w:color w:val="auto"/>
        </w:rPr>
        <w:tab/>
      </w:r>
      <w:r>
        <w:rPr>
          <w:rFonts w:ascii="Courier New" w:cs="Courier New" w:eastAsia="Courier New" w:hAnsi="Courier New"/>
          <w:sz w:val="15"/>
          <w:szCs w:val="15"/>
          <w:color w:val="auto"/>
        </w:rPr>
        <w:t>16</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5.1 Non-Use Fee</w:t>
      </w:r>
      <w:r>
        <w:rPr>
          <w:sz w:val="20"/>
          <w:szCs w:val="20"/>
          <w:color w:val="auto"/>
        </w:rPr>
        <w:tab/>
      </w:r>
      <w:r>
        <w:rPr>
          <w:rFonts w:ascii="Courier New" w:cs="Courier New" w:eastAsia="Courier New" w:hAnsi="Courier New"/>
          <w:sz w:val="15"/>
          <w:szCs w:val="15"/>
          <w:color w:val="auto"/>
        </w:rPr>
        <w:t>16</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5.2 Letter of Credit Fees</w:t>
      </w:r>
      <w:r>
        <w:rPr>
          <w:sz w:val="20"/>
          <w:szCs w:val="20"/>
          <w:color w:val="auto"/>
        </w:rPr>
        <w:tab/>
      </w:r>
      <w:r>
        <w:rPr>
          <w:rFonts w:ascii="Courier New" w:cs="Courier New" w:eastAsia="Courier New" w:hAnsi="Courier New"/>
          <w:sz w:val="15"/>
          <w:szCs w:val="15"/>
          <w:color w:val="auto"/>
        </w:rPr>
        <w:t>16</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5.3 Facility Fee</w:t>
      </w:r>
      <w:r>
        <w:rPr>
          <w:sz w:val="20"/>
          <w:szCs w:val="20"/>
          <w:color w:val="auto"/>
        </w:rPr>
        <w:tab/>
      </w:r>
      <w:r>
        <w:rPr>
          <w:rFonts w:ascii="Courier New" w:cs="Courier New" w:eastAsia="Courier New" w:hAnsi="Courier New"/>
          <w:sz w:val="15"/>
          <w:szCs w:val="15"/>
          <w:color w:val="auto"/>
        </w:rPr>
        <w:t>16</w:t>
      </w:r>
    </w:p>
    <w:p>
      <w:pPr>
        <w:spacing w:after="0" w:line="237" w:lineRule="auto"/>
        <w:tabs>
          <w:tab w:leader="dot" w:pos="8200" w:val="left"/>
        </w:tabs>
        <w:rPr>
          <w:sz w:val="20"/>
          <w:szCs w:val="20"/>
          <w:color w:val="auto"/>
        </w:rPr>
      </w:pPr>
      <w:r>
        <w:rPr>
          <w:rFonts w:ascii="Courier New" w:cs="Courier New" w:eastAsia="Courier New" w:hAnsi="Courier New"/>
          <w:sz w:val="15"/>
          <w:szCs w:val="15"/>
          <w:color w:val="auto"/>
        </w:rPr>
        <w:t>SECTION 6 PREPAYMENTS</w:t>
      </w:r>
      <w:r>
        <w:rPr>
          <w:sz w:val="20"/>
          <w:szCs w:val="20"/>
          <w:color w:val="auto"/>
        </w:rPr>
        <w:tab/>
      </w:r>
      <w:r>
        <w:rPr>
          <w:rFonts w:ascii="Courier New" w:cs="Courier New" w:eastAsia="Courier New" w:hAnsi="Courier New"/>
          <w:sz w:val="15"/>
          <w:szCs w:val="15"/>
          <w:color w:val="auto"/>
        </w:rPr>
        <w:t>17</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6.1 Voluntary Prepayments</w:t>
      </w:r>
      <w:r>
        <w:rPr>
          <w:sz w:val="20"/>
          <w:szCs w:val="20"/>
          <w:color w:val="auto"/>
        </w:rPr>
        <w:tab/>
      </w:r>
      <w:r>
        <w:rPr>
          <w:rFonts w:ascii="Courier New" w:cs="Courier New" w:eastAsia="Courier New" w:hAnsi="Courier New"/>
          <w:sz w:val="15"/>
          <w:szCs w:val="15"/>
          <w:color w:val="auto"/>
        </w:rPr>
        <w:t>17</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6.2 All Prepayments</w:t>
      </w:r>
      <w:r>
        <w:rPr>
          <w:sz w:val="20"/>
          <w:szCs w:val="20"/>
          <w:color w:val="auto"/>
        </w:rPr>
        <w:tab/>
      </w:r>
      <w:r>
        <w:rPr>
          <w:rFonts w:ascii="Courier New" w:cs="Courier New" w:eastAsia="Courier New" w:hAnsi="Courier New"/>
          <w:sz w:val="15"/>
          <w:szCs w:val="15"/>
          <w:color w:val="auto"/>
        </w:rPr>
        <w:t>17</w:t>
      </w:r>
    </w:p>
    <w:p>
      <w:pPr>
        <w:spacing w:after="0" w:line="237" w:lineRule="auto"/>
        <w:tabs>
          <w:tab w:leader="dot" w:pos="8200" w:val="left"/>
        </w:tabs>
        <w:rPr>
          <w:sz w:val="20"/>
          <w:szCs w:val="20"/>
          <w:color w:val="auto"/>
        </w:rPr>
      </w:pPr>
      <w:r>
        <w:rPr>
          <w:rFonts w:ascii="Courier New" w:cs="Courier New" w:eastAsia="Courier New" w:hAnsi="Courier New"/>
          <w:sz w:val="15"/>
          <w:szCs w:val="15"/>
          <w:color w:val="auto"/>
        </w:rPr>
        <w:t>SECTION 7 MAKING AND PRORATION OF PAYMENTS; SETOFF; TAXES</w:t>
      </w:r>
      <w:r>
        <w:rPr>
          <w:sz w:val="20"/>
          <w:szCs w:val="20"/>
          <w:color w:val="auto"/>
        </w:rPr>
        <w:tab/>
      </w:r>
      <w:r>
        <w:rPr>
          <w:rFonts w:ascii="Courier New" w:cs="Courier New" w:eastAsia="Courier New" w:hAnsi="Courier New"/>
          <w:sz w:val="15"/>
          <w:szCs w:val="15"/>
          <w:color w:val="auto"/>
        </w:rPr>
        <w:t>17</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7.1 Making of Payments</w:t>
      </w:r>
      <w:r>
        <w:rPr>
          <w:sz w:val="20"/>
          <w:szCs w:val="20"/>
          <w:color w:val="auto"/>
        </w:rPr>
        <w:tab/>
      </w:r>
      <w:r>
        <w:rPr>
          <w:rFonts w:ascii="Courier New" w:cs="Courier New" w:eastAsia="Courier New" w:hAnsi="Courier New"/>
          <w:sz w:val="15"/>
          <w:szCs w:val="15"/>
          <w:color w:val="auto"/>
        </w:rPr>
        <w:t>17</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7.2 Application of Certain Payments</w:t>
      </w:r>
      <w:r>
        <w:rPr>
          <w:sz w:val="20"/>
          <w:szCs w:val="20"/>
          <w:color w:val="auto"/>
        </w:rPr>
        <w:tab/>
      </w:r>
      <w:r>
        <w:rPr>
          <w:rFonts w:ascii="Courier New" w:cs="Courier New" w:eastAsia="Courier New" w:hAnsi="Courier New"/>
          <w:sz w:val="15"/>
          <w:szCs w:val="15"/>
          <w:color w:val="auto"/>
        </w:rPr>
        <w:t>17</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7.3 Due Date Extension</w:t>
      </w:r>
      <w:r>
        <w:rPr>
          <w:sz w:val="20"/>
          <w:szCs w:val="20"/>
          <w:color w:val="auto"/>
        </w:rPr>
        <w:tab/>
      </w:r>
      <w:r>
        <w:rPr>
          <w:rFonts w:ascii="Courier New" w:cs="Courier New" w:eastAsia="Courier New" w:hAnsi="Courier New"/>
          <w:sz w:val="15"/>
          <w:szCs w:val="15"/>
          <w:color w:val="auto"/>
        </w:rPr>
        <w:t>17</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7.4 Setoff</w:t>
      </w:r>
      <w:r>
        <w:rPr>
          <w:sz w:val="20"/>
          <w:szCs w:val="20"/>
          <w:color w:val="auto"/>
        </w:rPr>
        <w:tab/>
      </w:r>
      <w:r>
        <w:rPr>
          <w:rFonts w:ascii="Courier New" w:cs="Courier New" w:eastAsia="Courier New" w:hAnsi="Courier New"/>
          <w:sz w:val="15"/>
          <w:szCs w:val="15"/>
          <w:color w:val="auto"/>
        </w:rPr>
        <w:t>17</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7.5 Taxes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dot" w:pos="8200" w:val="left"/>
        </w:tabs>
        <w:rPr>
          <w:sz w:val="20"/>
          <w:szCs w:val="20"/>
          <w:color w:val="auto"/>
        </w:rPr>
      </w:pPr>
      <w:r>
        <w:rPr>
          <w:rFonts w:ascii="Courier New" w:cs="Courier New" w:eastAsia="Courier New" w:hAnsi="Courier New"/>
          <w:sz w:val="15"/>
          <w:szCs w:val="15"/>
          <w:color w:val="auto"/>
        </w:rPr>
        <w:t>SECTION 8 INCREASED COSTS; SPECIAL PROVISIONS FOR EURODOLLAR LOANS</w:t>
      </w:r>
      <w:r>
        <w:rPr>
          <w:sz w:val="20"/>
          <w:szCs w:val="20"/>
          <w:color w:val="auto"/>
        </w:rPr>
        <w:tab/>
      </w:r>
      <w:r>
        <w:rPr>
          <w:rFonts w:ascii="Courier New" w:cs="Courier New" w:eastAsia="Courier New" w:hAnsi="Courier New"/>
          <w:sz w:val="15"/>
          <w:szCs w:val="15"/>
          <w:color w:val="auto"/>
        </w:rPr>
        <w:t>18</w:t>
      </w:r>
    </w:p>
    <w:p>
      <w:pPr>
        <w:ind w:left="520"/>
        <w:spacing w:after="0" w:line="237" w:lineRule="auto"/>
        <w:tabs>
          <w:tab w:leader="dot" w:pos="8200" w:val="left"/>
        </w:tabs>
        <w:rPr>
          <w:sz w:val="20"/>
          <w:szCs w:val="20"/>
          <w:color w:val="auto"/>
        </w:rPr>
      </w:pPr>
      <w:r>
        <w:rPr>
          <w:rFonts w:ascii="Courier New" w:cs="Courier New" w:eastAsia="Courier New" w:hAnsi="Courier New"/>
          <w:sz w:val="15"/>
          <w:szCs w:val="15"/>
          <w:color w:val="auto"/>
        </w:rPr>
        <w:t>8.1 Increased Costs</w:t>
      </w:r>
      <w:r>
        <w:rPr>
          <w:sz w:val="20"/>
          <w:szCs w:val="20"/>
          <w:color w:val="auto"/>
        </w:rPr>
        <w:tab/>
      </w:r>
      <w:r>
        <w:rPr>
          <w:rFonts w:ascii="Courier New" w:cs="Courier New" w:eastAsia="Courier New" w:hAnsi="Courier New"/>
          <w:sz w:val="15"/>
          <w:szCs w:val="15"/>
          <w:color w:val="auto"/>
        </w:rPr>
        <w:t>18</w:t>
      </w:r>
    </w:p>
    <w:p>
      <w:pPr>
        <w:ind w:left="520"/>
        <w:spacing w:after="0" w:line="238" w:lineRule="auto"/>
        <w:tabs>
          <w:tab w:leader="dot" w:pos="8200" w:val="left"/>
        </w:tabs>
        <w:rPr>
          <w:sz w:val="20"/>
          <w:szCs w:val="20"/>
          <w:color w:val="auto"/>
        </w:rPr>
      </w:pPr>
      <w:r>
        <w:rPr>
          <w:rFonts w:ascii="Courier New" w:cs="Courier New" w:eastAsia="Courier New" w:hAnsi="Courier New"/>
          <w:sz w:val="15"/>
          <w:szCs w:val="15"/>
          <w:color w:val="auto"/>
        </w:rPr>
        <w:t>8.2 Basis for Determining Interest Rate Inadequate or Unfair</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9439"/>
          </w:cols>
          <w:pgMar w:left="1020" w:top="1122" w:right="1440" w:bottom="1440" w:gutter="0" w:footer="0" w:header="0"/>
        </w:sectPr>
      </w:pPr>
    </w:p>
    <w:bookmarkStart w:id="44" w:name="page45"/>
    <w:bookmarkEnd w:id="44"/>
    <w:p>
      <w:pPr>
        <w:ind w:left="280"/>
        <w:spacing w:after="0"/>
        <w:tabs>
          <w:tab w:leader="none" w:pos="780" w:val="left"/>
          <w:tab w:leader="dot" w:pos="7680" w:val="left"/>
        </w:tabs>
        <w:rPr>
          <w:sz w:val="20"/>
          <w:szCs w:val="20"/>
          <w:color w:val="auto"/>
        </w:rPr>
      </w:pPr>
      <w:r>
        <w:rPr>
          <w:rFonts w:ascii="Courier New" w:cs="Courier New" w:eastAsia="Courier New" w:hAnsi="Courier New"/>
          <w:sz w:val="15"/>
          <w:szCs w:val="15"/>
          <w:color w:val="auto"/>
        </w:rPr>
        <w:t>8.3</w:t>
        <w:tab/>
        <w:t>Changes in Law Rendering Eurodollar Loans Unlawful</w:t>
      </w:r>
      <w:r>
        <w:rPr>
          <w:sz w:val="20"/>
          <w:szCs w:val="20"/>
          <w:color w:val="auto"/>
        </w:rPr>
        <w:tab/>
      </w:r>
      <w:r>
        <w:rPr>
          <w:rFonts w:ascii="Courier New" w:cs="Courier New" w:eastAsia="Courier New" w:hAnsi="Courier New"/>
          <w:sz w:val="15"/>
          <w:szCs w:val="15"/>
          <w:color w:val="auto"/>
        </w:rPr>
        <w:t>20</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8.4</w:t>
        <w:tab/>
        <w:t>Funding Losses</w:t>
      </w:r>
      <w:r>
        <w:rPr>
          <w:sz w:val="20"/>
          <w:szCs w:val="20"/>
          <w:color w:val="auto"/>
        </w:rPr>
        <w:tab/>
      </w:r>
      <w:r>
        <w:rPr>
          <w:rFonts w:ascii="Courier New" w:cs="Courier New" w:eastAsia="Courier New" w:hAnsi="Courier New"/>
          <w:sz w:val="15"/>
          <w:szCs w:val="15"/>
          <w:color w:val="auto"/>
        </w:rPr>
        <w:t>20</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8.5</w:t>
        <w:tab/>
        <w:t>Right of Bank to Fund through Other Offices</w:t>
      </w:r>
      <w:r>
        <w:rPr>
          <w:sz w:val="20"/>
          <w:szCs w:val="20"/>
          <w:color w:val="auto"/>
        </w:rPr>
        <w:tab/>
      </w:r>
      <w:r>
        <w:rPr>
          <w:rFonts w:ascii="Courier New" w:cs="Courier New" w:eastAsia="Courier New" w:hAnsi="Courier New"/>
          <w:sz w:val="15"/>
          <w:szCs w:val="15"/>
          <w:color w:val="auto"/>
        </w:rPr>
        <w:t>20</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8.6</w:t>
        <w:tab/>
        <w:t>Discretion of Bank as to Manner of Funding</w:t>
      </w:r>
      <w:r>
        <w:rPr>
          <w:sz w:val="20"/>
          <w:szCs w:val="20"/>
          <w:color w:val="auto"/>
        </w:rPr>
        <w:tab/>
      </w:r>
      <w:r>
        <w:rPr>
          <w:rFonts w:ascii="Courier New" w:cs="Courier New" w:eastAsia="Courier New" w:hAnsi="Courier New"/>
          <w:sz w:val="15"/>
          <w:szCs w:val="15"/>
          <w:color w:val="auto"/>
        </w:rPr>
        <w:t>21</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8.7</w:t>
        <w:tab/>
        <w:t>Mitigation of Circumstances</w:t>
      </w:r>
      <w:r>
        <w:rPr>
          <w:sz w:val="20"/>
          <w:szCs w:val="20"/>
          <w:color w:val="auto"/>
        </w:rPr>
        <w:tab/>
      </w:r>
      <w:r>
        <w:rPr>
          <w:rFonts w:ascii="Courier New" w:cs="Courier New" w:eastAsia="Courier New" w:hAnsi="Courier New"/>
          <w:sz w:val="15"/>
          <w:szCs w:val="15"/>
          <w:color w:val="auto"/>
        </w:rPr>
        <w:t>21</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8.8</w:t>
        <w:tab/>
        <w:t>Conclusiveness of Statements; Survival of Provisions</w:t>
      </w:r>
      <w:r>
        <w:rPr>
          <w:sz w:val="20"/>
          <w:szCs w:val="20"/>
          <w:color w:val="auto"/>
        </w:rPr>
        <w:tab/>
      </w:r>
      <w:r>
        <w:rPr>
          <w:rFonts w:ascii="Courier New" w:cs="Courier New" w:eastAsia="Courier New" w:hAnsi="Courier New"/>
          <w:sz w:val="15"/>
          <w:szCs w:val="15"/>
          <w:color w:val="auto"/>
        </w:rPr>
        <w:t>21</w:t>
      </w:r>
    </w:p>
    <w:p>
      <w:pPr>
        <w:spacing w:after="0" w:line="238" w:lineRule="auto"/>
        <w:tabs>
          <w:tab w:leader="dot" w:pos="7680" w:val="left"/>
        </w:tabs>
        <w:rPr>
          <w:sz w:val="20"/>
          <w:szCs w:val="20"/>
          <w:color w:val="auto"/>
        </w:rPr>
      </w:pPr>
      <w:r>
        <w:rPr>
          <w:rFonts w:ascii="Courier New" w:cs="Courier New" w:eastAsia="Courier New" w:hAnsi="Courier New"/>
          <w:sz w:val="15"/>
          <w:szCs w:val="15"/>
          <w:color w:val="auto"/>
        </w:rPr>
        <w:t>SECTION 9 SECURITY</w:t>
      </w:r>
      <w:r>
        <w:rPr>
          <w:sz w:val="20"/>
          <w:szCs w:val="20"/>
          <w:color w:val="auto"/>
        </w:rPr>
        <w:tab/>
      </w:r>
      <w:r>
        <w:rPr>
          <w:rFonts w:ascii="Courier New" w:cs="Courier New" w:eastAsia="Courier New" w:hAnsi="Courier New"/>
          <w:sz w:val="15"/>
          <w:szCs w:val="15"/>
          <w:color w:val="auto"/>
        </w:rPr>
        <w:t>21</w:t>
      </w:r>
    </w:p>
    <w:p>
      <w:pPr>
        <w:spacing w:after="0" w:line="237" w:lineRule="auto"/>
        <w:tabs>
          <w:tab w:leader="dot" w:pos="7680" w:val="left"/>
        </w:tabs>
        <w:rPr>
          <w:sz w:val="20"/>
          <w:szCs w:val="20"/>
          <w:color w:val="auto"/>
        </w:rPr>
      </w:pPr>
      <w:r>
        <w:rPr>
          <w:rFonts w:ascii="Courier New" w:cs="Courier New" w:eastAsia="Courier New" w:hAnsi="Courier New"/>
          <w:sz w:val="15"/>
          <w:szCs w:val="15"/>
          <w:color w:val="auto"/>
        </w:rPr>
        <w:t>SECTION 10 WARRANTIES</w:t>
      </w:r>
      <w:r>
        <w:rPr>
          <w:sz w:val="20"/>
          <w:szCs w:val="20"/>
          <w:color w:val="auto"/>
        </w:rPr>
        <w:tab/>
      </w:r>
      <w:r>
        <w:rPr>
          <w:rFonts w:ascii="Courier New" w:cs="Courier New" w:eastAsia="Courier New" w:hAnsi="Courier New"/>
          <w:sz w:val="15"/>
          <w:szCs w:val="15"/>
          <w:color w:val="auto"/>
        </w:rPr>
        <w:t>22</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10.1</w:t>
        <w:tab/>
        <w:t>Organization</w:t>
      </w:r>
      <w:r>
        <w:rPr>
          <w:sz w:val="20"/>
          <w:szCs w:val="20"/>
          <w:color w:val="auto"/>
        </w:rPr>
        <w:tab/>
      </w:r>
      <w:r>
        <w:rPr>
          <w:rFonts w:ascii="Courier New" w:cs="Courier New" w:eastAsia="Courier New" w:hAnsi="Courier New"/>
          <w:sz w:val="15"/>
          <w:szCs w:val="15"/>
          <w:color w:val="auto"/>
        </w:rPr>
        <w:t>22</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10.2</w:t>
        <w:tab/>
        <w:t>Authorization; No Conflict</w:t>
      </w:r>
      <w:r>
        <w:rPr>
          <w:sz w:val="20"/>
          <w:szCs w:val="20"/>
          <w:color w:val="auto"/>
        </w:rPr>
        <w:tab/>
      </w:r>
      <w:r>
        <w:rPr>
          <w:rFonts w:ascii="Courier New" w:cs="Courier New" w:eastAsia="Courier New" w:hAnsi="Courier New"/>
          <w:sz w:val="15"/>
          <w:szCs w:val="15"/>
          <w:color w:val="auto"/>
        </w:rPr>
        <w:t>22</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10.3</w:t>
        <w:tab/>
        <w:t>Validity and Binding Nature</w:t>
      </w:r>
      <w:r>
        <w:rPr>
          <w:sz w:val="20"/>
          <w:szCs w:val="20"/>
          <w:color w:val="auto"/>
        </w:rPr>
        <w:tab/>
      </w:r>
      <w:r>
        <w:rPr>
          <w:rFonts w:ascii="Courier New" w:cs="Courier New" w:eastAsia="Courier New" w:hAnsi="Courier New"/>
          <w:sz w:val="15"/>
          <w:szCs w:val="15"/>
          <w:color w:val="auto"/>
        </w:rPr>
        <w:t>23</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10.4</w:t>
        <w:tab/>
        <w:t>Financial Condition</w:t>
      </w:r>
      <w:r>
        <w:rPr>
          <w:sz w:val="20"/>
          <w:szCs w:val="20"/>
          <w:color w:val="auto"/>
        </w:rPr>
        <w:tab/>
      </w:r>
      <w:r>
        <w:rPr>
          <w:rFonts w:ascii="Courier New" w:cs="Courier New" w:eastAsia="Courier New" w:hAnsi="Courier New"/>
          <w:sz w:val="15"/>
          <w:szCs w:val="15"/>
          <w:color w:val="auto"/>
        </w:rPr>
        <w:t>23</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10.5</w:t>
        <w:tab/>
        <w:t>No Material Adverse Change</w:t>
      </w:r>
      <w:r>
        <w:rPr>
          <w:sz w:val="20"/>
          <w:szCs w:val="20"/>
          <w:color w:val="auto"/>
        </w:rPr>
        <w:tab/>
      </w:r>
      <w:r>
        <w:rPr>
          <w:rFonts w:ascii="Courier New" w:cs="Courier New" w:eastAsia="Courier New" w:hAnsi="Courier New"/>
          <w:sz w:val="15"/>
          <w:szCs w:val="15"/>
          <w:color w:val="auto"/>
        </w:rPr>
        <w:t>23</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10.6</w:t>
        <w:tab/>
        <w:t>Litigation and Contingent Liabilities</w:t>
      </w:r>
      <w:r>
        <w:rPr>
          <w:sz w:val="20"/>
          <w:szCs w:val="20"/>
          <w:color w:val="auto"/>
        </w:rPr>
        <w:tab/>
      </w:r>
      <w:r>
        <w:rPr>
          <w:rFonts w:ascii="Courier New" w:cs="Courier New" w:eastAsia="Courier New" w:hAnsi="Courier New"/>
          <w:sz w:val="15"/>
          <w:szCs w:val="15"/>
          <w:color w:val="auto"/>
        </w:rPr>
        <w:t>23</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10.7</w:t>
        <w:tab/>
        <w:t>Ownership of Properties; Liens</w:t>
      </w:r>
      <w:r>
        <w:rPr>
          <w:sz w:val="20"/>
          <w:szCs w:val="20"/>
          <w:color w:val="auto"/>
        </w:rPr>
        <w:tab/>
      </w:r>
      <w:r>
        <w:rPr>
          <w:rFonts w:ascii="Courier New" w:cs="Courier New" w:eastAsia="Courier New" w:hAnsi="Courier New"/>
          <w:sz w:val="15"/>
          <w:szCs w:val="15"/>
          <w:color w:val="auto"/>
        </w:rPr>
        <w:t>23</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10.8</w:t>
        <w:tab/>
        <w:t>Subsidiaries</w:t>
      </w:r>
      <w:r>
        <w:rPr>
          <w:sz w:val="20"/>
          <w:szCs w:val="20"/>
          <w:color w:val="auto"/>
        </w:rPr>
        <w:tab/>
      </w:r>
      <w:r>
        <w:rPr>
          <w:rFonts w:ascii="Courier New" w:cs="Courier New" w:eastAsia="Courier New" w:hAnsi="Courier New"/>
          <w:sz w:val="15"/>
          <w:szCs w:val="15"/>
          <w:color w:val="auto"/>
        </w:rPr>
        <w:t>23</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10.9</w:t>
        <w:tab/>
        <w:t>Pension Plans</w:t>
      </w:r>
      <w:r>
        <w:rPr>
          <w:sz w:val="20"/>
          <w:szCs w:val="20"/>
          <w:color w:val="auto"/>
        </w:rPr>
        <w:tab/>
      </w:r>
      <w:r>
        <w:rPr>
          <w:rFonts w:ascii="Courier New" w:cs="Courier New" w:eastAsia="Courier New" w:hAnsi="Courier New"/>
          <w:sz w:val="15"/>
          <w:szCs w:val="15"/>
          <w:color w:val="auto"/>
        </w:rPr>
        <w:t>23</w:t>
      </w:r>
    </w:p>
    <w:p>
      <w:pPr>
        <w:ind w:left="280"/>
        <w:spacing w:after="0" w:line="237" w:lineRule="auto"/>
        <w:tabs>
          <w:tab w:leader="dot" w:pos="7680" w:val="left"/>
        </w:tabs>
        <w:rPr>
          <w:sz w:val="20"/>
          <w:szCs w:val="20"/>
          <w:color w:val="auto"/>
        </w:rPr>
      </w:pPr>
      <w:r>
        <w:rPr>
          <w:rFonts w:ascii="Courier New" w:cs="Courier New" w:eastAsia="Courier New" w:hAnsi="Courier New"/>
          <w:sz w:val="15"/>
          <w:szCs w:val="15"/>
          <w:color w:val="auto"/>
        </w:rPr>
        <w:t>10.10 Investment Company Act</w:t>
      </w:r>
      <w:r>
        <w:rPr>
          <w:sz w:val="20"/>
          <w:szCs w:val="20"/>
          <w:color w:val="auto"/>
        </w:rPr>
        <w:tab/>
      </w:r>
      <w:r>
        <w:rPr>
          <w:rFonts w:ascii="Courier New" w:cs="Courier New" w:eastAsia="Courier New" w:hAnsi="Courier New"/>
          <w:sz w:val="15"/>
          <w:szCs w:val="15"/>
          <w:color w:val="auto"/>
        </w:rPr>
        <w:t>24</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10.11 Public Utility Holding Company Act</w:t>
      </w:r>
      <w:r>
        <w:rPr>
          <w:sz w:val="20"/>
          <w:szCs w:val="20"/>
          <w:color w:val="auto"/>
        </w:rPr>
        <w:tab/>
      </w:r>
      <w:r>
        <w:rPr>
          <w:rFonts w:ascii="Courier New" w:cs="Courier New" w:eastAsia="Courier New" w:hAnsi="Courier New"/>
          <w:sz w:val="15"/>
          <w:szCs w:val="15"/>
          <w:color w:val="auto"/>
        </w:rPr>
        <w:t>24</w:t>
      </w:r>
    </w:p>
    <w:p>
      <w:pPr>
        <w:ind w:left="280"/>
        <w:spacing w:after="0" w:line="237" w:lineRule="auto"/>
        <w:tabs>
          <w:tab w:leader="dot" w:pos="7680" w:val="left"/>
        </w:tabs>
        <w:rPr>
          <w:sz w:val="20"/>
          <w:szCs w:val="20"/>
          <w:color w:val="auto"/>
        </w:rPr>
      </w:pPr>
      <w:r>
        <w:rPr>
          <w:rFonts w:ascii="Courier New" w:cs="Courier New" w:eastAsia="Courier New" w:hAnsi="Courier New"/>
          <w:sz w:val="15"/>
          <w:szCs w:val="15"/>
          <w:color w:val="auto"/>
        </w:rPr>
        <w:t>10.12 Regulation U</w:t>
      </w:r>
      <w:r>
        <w:rPr>
          <w:sz w:val="20"/>
          <w:szCs w:val="20"/>
          <w:color w:val="auto"/>
        </w:rPr>
        <w:tab/>
      </w:r>
      <w:r>
        <w:rPr>
          <w:rFonts w:ascii="Courier New" w:cs="Courier New" w:eastAsia="Courier New" w:hAnsi="Courier New"/>
          <w:sz w:val="15"/>
          <w:szCs w:val="15"/>
          <w:color w:val="auto"/>
        </w:rPr>
        <w:t>24</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10.13 Taxes</w:t>
      </w:r>
      <w:r>
        <w:rPr>
          <w:sz w:val="20"/>
          <w:szCs w:val="20"/>
          <w:color w:val="auto"/>
        </w:rPr>
        <w:tab/>
      </w:r>
      <w:r>
        <w:rPr>
          <w:rFonts w:ascii="Courier New" w:cs="Courier New" w:eastAsia="Courier New" w:hAnsi="Courier New"/>
          <w:sz w:val="15"/>
          <w:szCs w:val="15"/>
          <w:color w:val="auto"/>
        </w:rPr>
        <w:t>24</w:t>
      </w:r>
    </w:p>
    <w:p>
      <w:pPr>
        <w:ind w:left="280"/>
        <w:spacing w:after="0" w:line="237" w:lineRule="auto"/>
        <w:tabs>
          <w:tab w:leader="dot" w:pos="7680" w:val="left"/>
        </w:tabs>
        <w:rPr>
          <w:sz w:val="20"/>
          <w:szCs w:val="20"/>
          <w:color w:val="auto"/>
        </w:rPr>
      </w:pPr>
      <w:r>
        <w:rPr>
          <w:rFonts w:ascii="Courier New" w:cs="Courier New" w:eastAsia="Courier New" w:hAnsi="Courier New"/>
          <w:sz w:val="15"/>
          <w:szCs w:val="15"/>
          <w:color w:val="auto"/>
        </w:rPr>
        <w:t>10.14 Solvency, etc.</w:t>
      </w:r>
      <w:r>
        <w:rPr>
          <w:sz w:val="20"/>
          <w:szCs w:val="20"/>
          <w:color w:val="auto"/>
        </w:rPr>
        <w:tab/>
      </w:r>
      <w:r>
        <w:rPr>
          <w:rFonts w:ascii="Courier New" w:cs="Courier New" w:eastAsia="Courier New" w:hAnsi="Courier New"/>
          <w:sz w:val="15"/>
          <w:szCs w:val="15"/>
          <w:color w:val="auto"/>
        </w:rPr>
        <w:t>24</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10.15 Environmental Matters</w:t>
      </w:r>
      <w:r>
        <w:rPr>
          <w:sz w:val="20"/>
          <w:szCs w:val="20"/>
          <w:color w:val="auto"/>
        </w:rPr>
        <w:tab/>
      </w:r>
      <w:r>
        <w:rPr>
          <w:rFonts w:ascii="Courier New" w:cs="Courier New" w:eastAsia="Courier New" w:hAnsi="Courier New"/>
          <w:sz w:val="15"/>
          <w:szCs w:val="15"/>
          <w:color w:val="auto"/>
        </w:rPr>
        <w:t>24</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10.16 Insurance</w:t>
      </w:r>
      <w:r>
        <w:rPr>
          <w:sz w:val="20"/>
          <w:szCs w:val="20"/>
          <w:color w:val="auto"/>
        </w:rPr>
        <w:tab/>
      </w:r>
      <w:r>
        <w:rPr>
          <w:rFonts w:ascii="Courier New" w:cs="Courier New" w:eastAsia="Courier New" w:hAnsi="Courier New"/>
          <w:sz w:val="15"/>
          <w:szCs w:val="15"/>
          <w:color w:val="auto"/>
        </w:rPr>
        <w:t>26</w:t>
      </w:r>
    </w:p>
    <w:p>
      <w:pPr>
        <w:ind w:left="280"/>
        <w:spacing w:after="0" w:line="237" w:lineRule="auto"/>
        <w:tabs>
          <w:tab w:leader="dot" w:pos="7680" w:val="left"/>
        </w:tabs>
        <w:rPr>
          <w:sz w:val="20"/>
          <w:szCs w:val="20"/>
          <w:color w:val="auto"/>
        </w:rPr>
      </w:pPr>
      <w:r>
        <w:rPr>
          <w:rFonts w:ascii="Courier New" w:cs="Courier New" w:eastAsia="Courier New" w:hAnsi="Courier New"/>
          <w:sz w:val="15"/>
          <w:szCs w:val="15"/>
          <w:color w:val="auto"/>
        </w:rPr>
        <w:t>10.17 Real Property</w:t>
      </w:r>
      <w:r>
        <w:rPr>
          <w:sz w:val="20"/>
          <w:szCs w:val="20"/>
          <w:color w:val="auto"/>
        </w:rPr>
        <w:tab/>
      </w:r>
      <w:r>
        <w:rPr>
          <w:rFonts w:ascii="Courier New" w:cs="Courier New" w:eastAsia="Courier New" w:hAnsi="Courier New"/>
          <w:sz w:val="15"/>
          <w:szCs w:val="15"/>
          <w:color w:val="auto"/>
        </w:rPr>
        <w:t>26</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10.18 Information</w:t>
      </w:r>
      <w:r>
        <w:rPr>
          <w:sz w:val="20"/>
          <w:szCs w:val="20"/>
          <w:color w:val="auto"/>
        </w:rPr>
        <w:tab/>
      </w:r>
      <w:r>
        <w:rPr>
          <w:rFonts w:ascii="Courier New" w:cs="Courier New" w:eastAsia="Courier New" w:hAnsi="Courier New"/>
          <w:sz w:val="15"/>
          <w:szCs w:val="15"/>
          <w:color w:val="auto"/>
        </w:rPr>
        <w:t>26</w:t>
      </w:r>
    </w:p>
    <w:p>
      <w:pPr>
        <w:ind w:left="280"/>
        <w:spacing w:after="0" w:line="237" w:lineRule="auto"/>
        <w:tabs>
          <w:tab w:leader="dot" w:pos="7680" w:val="left"/>
        </w:tabs>
        <w:rPr>
          <w:sz w:val="20"/>
          <w:szCs w:val="20"/>
          <w:color w:val="auto"/>
        </w:rPr>
      </w:pPr>
      <w:r>
        <w:rPr>
          <w:rFonts w:ascii="Courier New" w:cs="Courier New" w:eastAsia="Courier New" w:hAnsi="Courier New"/>
          <w:sz w:val="15"/>
          <w:szCs w:val="15"/>
          <w:color w:val="auto"/>
        </w:rPr>
        <w:t>10.19 Intellectual Property</w:t>
      </w:r>
      <w:r>
        <w:rPr>
          <w:sz w:val="20"/>
          <w:szCs w:val="20"/>
          <w:color w:val="auto"/>
        </w:rPr>
        <w:tab/>
      </w:r>
      <w:r>
        <w:rPr>
          <w:rFonts w:ascii="Courier New" w:cs="Courier New" w:eastAsia="Courier New" w:hAnsi="Courier New"/>
          <w:sz w:val="15"/>
          <w:szCs w:val="15"/>
          <w:color w:val="auto"/>
        </w:rPr>
        <w:t>26</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10.20 Burdensome Obligations</w:t>
      </w:r>
      <w:r>
        <w:rPr>
          <w:sz w:val="20"/>
          <w:szCs w:val="20"/>
          <w:color w:val="auto"/>
        </w:rPr>
        <w:tab/>
      </w:r>
      <w:r>
        <w:rPr>
          <w:rFonts w:ascii="Courier New" w:cs="Courier New" w:eastAsia="Courier New" w:hAnsi="Courier New"/>
          <w:sz w:val="15"/>
          <w:szCs w:val="15"/>
          <w:color w:val="auto"/>
        </w:rPr>
        <w:t>27</w:t>
      </w:r>
    </w:p>
    <w:p>
      <w:pPr>
        <w:ind w:left="280"/>
        <w:spacing w:after="0" w:line="237" w:lineRule="auto"/>
        <w:tabs>
          <w:tab w:leader="dot" w:pos="7680" w:val="left"/>
        </w:tabs>
        <w:rPr>
          <w:sz w:val="20"/>
          <w:szCs w:val="20"/>
          <w:color w:val="auto"/>
        </w:rPr>
      </w:pPr>
      <w:r>
        <w:rPr>
          <w:rFonts w:ascii="Courier New" w:cs="Courier New" w:eastAsia="Courier New" w:hAnsi="Courier New"/>
          <w:sz w:val="15"/>
          <w:szCs w:val="15"/>
          <w:color w:val="auto"/>
        </w:rPr>
        <w:t>10.21 Labor Matters</w:t>
      </w:r>
      <w:r>
        <w:rPr>
          <w:sz w:val="20"/>
          <w:szCs w:val="20"/>
          <w:color w:val="auto"/>
        </w:rPr>
        <w:tab/>
      </w:r>
      <w:r>
        <w:rPr>
          <w:rFonts w:ascii="Courier New" w:cs="Courier New" w:eastAsia="Courier New" w:hAnsi="Courier New"/>
          <w:sz w:val="15"/>
          <w:szCs w:val="15"/>
          <w:color w:val="auto"/>
        </w:rPr>
        <w:t>27</w:t>
      </w:r>
    </w:p>
    <w:p>
      <w:pPr>
        <w:ind w:left="280"/>
        <w:spacing w:after="0" w:line="238" w:lineRule="auto"/>
        <w:tabs>
          <w:tab w:leader="dot" w:pos="7680" w:val="left"/>
        </w:tabs>
        <w:rPr>
          <w:sz w:val="20"/>
          <w:szCs w:val="20"/>
          <w:color w:val="auto"/>
        </w:rPr>
      </w:pPr>
      <w:r>
        <w:rPr>
          <w:rFonts w:ascii="Courier New" w:cs="Courier New" w:eastAsia="Courier New" w:hAnsi="Courier New"/>
          <w:sz w:val="15"/>
          <w:szCs w:val="15"/>
          <w:color w:val="auto"/>
        </w:rPr>
        <w:t>10.22 No Default</w:t>
      </w:r>
      <w:r>
        <w:rPr>
          <w:sz w:val="20"/>
          <w:szCs w:val="20"/>
          <w:color w:val="auto"/>
        </w:rPr>
        <w:tab/>
      </w:r>
      <w:r>
        <w:rPr>
          <w:rFonts w:ascii="Courier New" w:cs="Courier New" w:eastAsia="Courier New" w:hAnsi="Courier New"/>
          <w:sz w:val="15"/>
          <w:szCs w:val="15"/>
          <w:color w:val="auto"/>
        </w:rPr>
        <w:t>27</w:t>
      </w:r>
    </w:p>
    <w:p>
      <w:pPr>
        <w:spacing w:after="0" w:line="238" w:lineRule="auto"/>
        <w:tabs>
          <w:tab w:leader="dot" w:pos="7680" w:val="left"/>
        </w:tabs>
        <w:rPr>
          <w:sz w:val="20"/>
          <w:szCs w:val="20"/>
          <w:color w:val="auto"/>
        </w:rPr>
      </w:pPr>
      <w:r>
        <w:rPr>
          <w:rFonts w:ascii="Courier New" w:cs="Courier New" w:eastAsia="Courier New" w:hAnsi="Courier New"/>
          <w:sz w:val="15"/>
          <w:szCs w:val="15"/>
          <w:color w:val="auto"/>
        </w:rPr>
        <w:t>SECTION 11 COVENANTS</w:t>
      </w:r>
      <w:r>
        <w:rPr>
          <w:sz w:val="20"/>
          <w:szCs w:val="20"/>
          <w:color w:val="auto"/>
        </w:rPr>
        <w:tab/>
      </w:r>
      <w:r>
        <w:rPr>
          <w:rFonts w:ascii="Courier New" w:cs="Courier New" w:eastAsia="Courier New" w:hAnsi="Courier New"/>
          <w:sz w:val="15"/>
          <w:szCs w:val="15"/>
          <w:color w:val="auto"/>
        </w:rPr>
        <w:t>27</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11.1</w:t>
        <w:tab/>
        <w:t>Reports, Certificates and Other Information</w:t>
      </w:r>
      <w:r>
        <w:rPr>
          <w:sz w:val="20"/>
          <w:szCs w:val="20"/>
          <w:color w:val="auto"/>
        </w:rPr>
        <w:tab/>
      </w:r>
      <w:r>
        <w:rPr>
          <w:rFonts w:ascii="Courier New" w:cs="Courier New" w:eastAsia="Courier New" w:hAnsi="Courier New"/>
          <w:sz w:val="15"/>
          <w:szCs w:val="15"/>
          <w:color w:val="auto"/>
        </w:rPr>
        <w:t>27</w:t>
      </w:r>
    </w:p>
    <w:p>
      <w:pPr>
        <w:jc w:val="right"/>
        <w:ind w:right="2359"/>
        <w:spacing w:after="0" w:line="238" w:lineRule="auto"/>
        <w:tabs>
          <w:tab w:leader="dot" w:pos="160" w:val="left"/>
        </w:tabs>
        <w:rPr>
          <w:sz w:val="20"/>
          <w:szCs w:val="20"/>
          <w:color w:val="auto"/>
        </w:rPr>
      </w:pPr>
      <w:r>
        <w:rPr>
          <w:rFonts w:ascii="Courier New" w:cs="Courier New" w:eastAsia="Courier New" w:hAnsi="Courier New"/>
          <w:sz w:val="15"/>
          <w:szCs w:val="15"/>
          <w:color w:val="auto"/>
        </w:rPr>
        <w:t>11.1.1 10-K</w:t>
      </w:r>
      <w:r>
        <w:rPr>
          <w:sz w:val="20"/>
          <w:szCs w:val="20"/>
          <w:color w:val="auto"/>
        </w:rPr>
        <w:tab/>
      </w:r>
      <w:r>
        <w:rPr>
          <w:rFonts w:ascii="Courier New" w:cs="Courier New" w:eastAsia="Courier New" w:hAnsi="Courier New"/>
          <w:sz w:val="15"/>
          <w:szCs w:val="15"/>
          <w:color w:val="auto"/>
        </w:rPr>
        <w:t>27</w:t>
      </w:r>
    </w:p>
    <w:p>
      <w:pPr>
        <w:jc w:val="right"/>
        <w:ind w:right="2359"/>
        <w:spacing w:after="0" w:line="237" w:lineRule="auto"/>
        <w:tabs>
          <w:tab w:leader="dot" w:pos="160" w:val="left"/>
        </w:tabs>
        <w:rPr>
          <w:sz w:val="20"/>
          <w:szCs w:val="20"/>
          <w:color w:val="auto"/>
        </w:rPr>
      </w:pPr>
      <w:r>
        <w:rPr>
          <w:rFonts w:ascii="Courier New" w:cs="Courier New" w:eastAsia="Courier New" w:hAnsi="Courier New"/>
          <w:sz w:val="15"/>
          <w:szCs w:val="15"/>
          <w:color w:val="auto"/>
        </w:rPr>
        <w:t>11.1.2 10-Q</w:t>
      </w:r>
      <w:r>
        <w:rPr>
          <w:sz w:val="20"/>
          <w:szCs w:val="20"/>
          <w:color w:val="auto"/>
        </w:rPr>
        <w:tab/>
      </w:r>
      <w:r>
        <w:rPr>
          <w:rFonts w:ascii="Courier New" w:cs="Courier New" w:eastAsia="Courier New" w:hAnsi="Courier New"/>
          <w:sz w:val="15"/>
          <w:szCs w:val="15"/>
          <w:color w:val="auto"/>
        </w:rPr>
        <w:t>27</w:t>
      </w:r>
    </w:p>
    <w:p>
      <w:pPr>
        <w:jc w:val="right"/>
        <w:ind w:right="2359"/>
        <w:spacing w:after="0" w:line="238" w:lineRule="auto"/>
        <w:tabs>
          <w:tab w:leader="dot" w:pos="160" w:val="left"/>
        </w:tabs>
        <w:rPr>
          <w:sz w:val="20"/>
          <w:szCs w:val="20"/>
          <w:color w:val="auto"/>
        </w:rPr>
      </w:pPr>
      <w:r>
        <w:rPr>
          <w:rFonts w:ascii="Courier New" w:cs="Courier New" w:eastAsia="Courier New" w:hAnsi="Courier New"/>
          <w:sz w:val="15"/>
          <w:szCs w:val="15"/>
          <w:color w:val="auto"/>
        </w:rPr>
        <w:t>11.1.3 Compliance Certificates</w:t>
      </w:r>
      <w:r>
        <w:rPr>
          <w:sz w:val="20"/>
          <w:szCs w:val="20"/>
          <w:color w:val="auto"/>
        </w:rPr>
        <w:tab/>
      </w:r>
      <w:r>
        <w:rPr>
          <w:rFonts w:ascii="Courier New" w:cs="Courier New" w:eastAsia="Courier New" w:hAnsi="Courier New"/>
          <w:sz w:val="15"/>
          <w:szCs w:val="15"/>
          <w:color w:val="auto"/>
        </w:rPr>
        <w:t>27</w:t>
      </w:r>
    </w:p>
    <w:p>
      <w:pPr>
        <w:jc w:val="right"/>
        <w:ind w:right="2359"/>
        <w:spacing w:after="0" w:line="237" w:lineRule="auto"/>
        <w:tabs>
          <w:tab w:leader="dot" w:pos="160" w:val="left"/>
        </w:tabs>
        <w:rPr>
          <w:sz w:val="20"/>
          <w:szCs w:val="20"/>
          <w:color w:val="auto"/>
        </w:rPr>
      </w:pPr>
      <w:r>
        <w:rPr>
          <w:rFonts w:ascii="Courier New" w:cs="Courier New" w:eastAsia="Courier New" w:hAnsi="Courier New"/>
          <w:sz w:val="15"/>
          <w:szCs w:val="15"/>
          <w:color w:val="auto"/>
        </w:rPr>
        <w:t>11.1.4 Reports to the SEC and to Shareholders</w:t>
      </w:r>
      <w:r>
        <w:rPr>
          <w:sz w:val="20"/>
          <w:szCs w:val="20"/>
          <w:color w:val="auto"/>
        </w:rPr>
        <w:tab/>
      </w:r>
      <w:r>
        <w:rPr>
          <w:rFonts w:ascii="Courier New" w:cs="Courier New" w:eastAsia="Courier New" w:hAnsi="Courier New"/>
          <w:sz w:val="15"/>
          <w:szCs w:val="15"/>
          <w:color w:val="auto"/>
        </w:rPr>
        <w:t>28</w:t>
      </w:r>
    </w:p>
    <w:p>
      <w:pPr>
        <w:jc w:val="right"/>
        <w:ind w:right="2359"/>
        <w:spacing w:after="0" w:line="238" w:lineRule="auto"/>
        <w:tabs>
          <w:tab w:leader="dot" w:pos="160" w:val="left"/>
        </w:tabs>
        <w:rPr>
          <w:sz w:val="20"/>
          <w:szCs w:val="20"/>
          <w:color w:val="auto"/>
        </w:rPr>
      </w:pPr>
      <w:r>
        <w:rPr>
          <w:rFonts w:ascii="Courier New" w:cs="Courier New" w:eastAsia="Courier New" w:hAnsi="Courier New"/>
          <w:sz w:val="15"/>
          <w:szCs w:val="15"/>
          <w:color w:val="auto"/>
        </w:rPr>
        <w:t>11.1.5 Notice of Default, Litigation and ERISA Matters</w:t>
      </w:r>
      <w:r>
        <w:rPr>
          <w:sz w:val="20"/>
          <w:szCs w:val="20"/>
          <w:color w:val="auto"/>
        </w:rPr>
        <w:tab/>
      </w:r>
      <w:r>
        <w:rPr>
          <w:rFonts w:ascii="Courier New" w:cs="Courier New" w:eastAsia="Courier New" w:hAnsi="Courier New"/>
          <w:sz w:val="15"/>
          <w:szCs w:val="15"/>
          <w:color w:val="auto"/>
        </w:rPr>
        <w:t>28</w:t>
      </w:r>
    </w:p>
    <w:p>
      <w:pPr>
        <w:jc w:val="right"/>
        <w:ind w:right="2359"/>
        <w:spacing w:after="0" w:line="238" w:lineRule="auto"/>
        <w:tabs>
          <w:tab w:leader="dot" w:pos="160" w:val="left"/>
        </w:tabs>
        <w:rPr>
          <w:sz w:val="20"/>
          <w:szCs w:val="20"/>
          <w:color w:val="auto"/>
        </w:rPr>
      </w:pPr>
      <w:r>
        <w:rPr>
          <w:rFonts w:ascii="Courier New" w:cs="Courier New" w:eastAsia="Courier New" w:hAnsi="Courier New"/>
          <w:sz w:val="15"/>
          <w:szCs w:val="15"/>
          <w:color w:val="auto"/>
        </w:rPr>
        <w:t>11.1.6 Management Reports</w:t>
      </w:r>
      <w:r>
        <w:rPr>
          <w:sz w:val="20"/>
          <w:szCs w:val="20"/>
          <w:color w:val="auto"/>
        </w:rPr>
        <w:tab/>
      </w:r>
      <w:r>
        <w:rPr>
          <w:rFonts w:ascii="Courier New" w:cs="Courier New" w:eastAsia="Courier New" w:hAnsi="Courier New"/>
          <w:sz w:val="15"/>
          <w:szCs w:val="15"/>
          <w:color w:val="auto"/>
        </w:rPr>
        <w:t>28</w:t>
      </w:r>
    </w:p>
    <w:p>
      <w:pPr>
        <w:jc w:val="right"/>
        <w:ind w:right="2359"/>
        <w:spacing w:after="0" w:line="237" w:lineRule="auto"/>
        <w:tabs>
          <w:tab w:leader="dot" w:pos="160" w:val="left"/>
        </w:tabs>
        <w:rPr>
          <w:sz w:val="20"/>
          <w:szCs w:val="20"/>
          <w:color w:val="auto"/>
        </w:rPr>
      </w:pPr>
      <w:r>
        <w:rPr>
          <w:rFonts w:ascii="Courier New" w:cs="Courier New" w:eastAsia="Courier New" w:hAnsi="Courier New"/>
          <w:sz w:val="15"/>
          <w:szCs w:val="15"/>
          <w:color w:val="auto"/>
        </w:rPr>
        <w:t>11.1.7 Intentionally Omitted</w:t>
      </w:r>
      <w:r>
        <w:rPr>
          <w:sz w:val="20"/>
          <w:szCs w:val="20"/>
          <w:color w:val="auto"/>
        </w:rPr>
        <w:tab/>
      </w:r>
      <w:r>
        <w:rPr>
          <w:rFonts w:ascii="Courier New" w:cs="Courier New" w:eastAsia="Courier New" w:hAnsi="Courier New"/>
          <w:sz w:val="15"/>
          <w:szCs w:val="15"/>
          <w:color w:val="auto"/>
        </w:rPr>
        <w:t>29</w:t>
      </w:r>
    </w:p>
    <w:p>
      <w:pPr>
        <w:jc w:val="right"/>
        <w:ind w:right="2359"/>
        <w:spacing w:after="0" w:line="238" w:lineRule="auto"/>
        <w:tabs>
          <w:tab w:leader="dot" w:pos="160" w:val="left"/>
        </w:tabs>
        <w:rPr>
          <w:sz w:val="20"/>
          <w:szCs w:val="20"/>
          <w:color w:val="auto"/>
        </w:rPr>
      </w:pPr>
      <w:r>
        <w:rPr>
          <w:rFonts w:ascii="Courier New" w:cs="Courier New" w:eastAsia="Courier New" w:hAnsi="Courier New"/>
          <w:sz w:val="15"/>
          <w:szCs w:val="15"/>
          <w:color w:val="auto"/>
        </w:rPr>
        <w:t>11.1.8 Other Information</w:t>
      </w:r>
      <w:r>
        <w:rPr>
          <w:sz w:val="20"/>
          <w:szCs w:val="20"/>
          <w:color w:val="auto"/>
        </w:rPr>
        <w:tab/>
      </w:r>
      <w:r>
        <w:rPr>
          <w:rFonts w:ascii="Courier New" w:cs="Courier New" w:eastAsia="Courier New" w:hAnsi="Courier New"/>
          <w:sz w:val="15"/>
          <w:szCs w:val="15"/>
          <w:color w:val="auto"/>
        </w:rPr>
        <w:t>29</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11.2</w:t>
        <w:tab/>
        <w:t>Books, Records and Inspections</w:t>
      </w:r>
      <w:r>
        <w:rPr>
          <w:sz w:val="20"/>
          <w:szCs w:val="20"/>
          <w:color w:val="auto"/>
        </w:rPr>
        <w:tab/>
      </w:r>
      <w:r>
        <w:rPr>
          <w:rFonts w:ascii="Courier New" w:cs="Courier New" w:eastAsia="Courier New" w:hAnsi="Courier New"/>
          <w:sz w:val="15"/>
          <w:szCs w:val="15"/>
          <w:color w:val="auto"/>
        </w:rPr>
        <w:t>29</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11.3</w:t>
        <w:tab/>
        <w:t>Maintenance of Property; Insurance</w:t>
      </w:r>
      <w:r>
        <w:rPr>
          <w:sz w:val="20"/>
          <w:szCs w:val="20"/>
          <w:color w:val="auto"/>
        </w:rPr>
        <w:tab/>
      </w:r>
      <w:r>
        <w:rPr>
          <w:rFonts w:ascii="Courier New" w:cs="Courier New" w:eastAsia="Courier New" w:hAnsi="Courier New"/>
          <w:sz w:val="15"/>
          <w:szCs w:val="15"/>
          <w:color w:val="auto"/>
        </w:rPr>
        <w:t>29</w:t>
      </w:r>
    </w:p>
    <w:p>
      <w:pPr>
        <w:ind w:left="280"/>
        <w:spacing w:after="0" w:line="237"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11.4</w:t>
        <w:tab/>
        <w:t>Compliance with Laws; Payment of Taxes and Liabilities</w:t>
      </w:r>
      <w:r>
        <w:rPr>
          <w:sz w:val="20"/>
          <w:szCs w:val="20"/>
          <w:color w:val="auto"/>
        </w:rPr>
        <w:tab/>
      </w:r>
      <w:r>
        <w:rPr>
          <w:rFonts w:ascii="Courier New" w:cs="Courier New" w:eastAsia="Courier New" w:hAnsi="Courier New"/>
          <w:sz w:val="15"/>
          <w:szCs w:val="15"/>
          <w:color w:val="auto"/>
        </w:rPr>
        <w:t>30</w:t>
      </w:r>
    </w:p>
    <w:p>
      <w:pPr>
        <w:ind w:left="280"/>
        <w:spacing w:after="0" w:line="238" w:lineRule="auto"/>
        <w:tabs>
          <w:tab w:leader="none" w:pos="780" w:val="left"/>
          <w:tab w:leader="dot" w:pos="7680" w:val="left"/>
        </w:tabs>
        <w:rPr>
          <w:sz w:val="20"/>
          <w:szCs w:val="20"/>
          <w:color w:val="auto"/>
        </w:rPr>
      </w:pPr>
      <w:r>
        <w:rPr>
          <w:rFonts w:ascii="Courier New" w:cs="Courier New" w:eastAsia="Courier New" w:hAnsi="Courier New"/>
          <w:sz w:val="15"/>
          <w:szCs w:val="15"/>
          <w:color w:val="auto"/>
        </w:rPr>
        <w:t>11.5</w:t>
        <w:tab/>
        <w:t>Maintenance of Existence, etc.</w:t>
      </w:r>
      <w:r>
        <w:rPr>
          <w:sz w:val="20"/>
          <w:szCs w:val="20"/>
          <w:color w:val="auto"/>
        </w:rPr>
        <w:tab/>
      </w:r>
      <w:r>
        <w:rPr>
          <w:rFonts w:ascii="Courier New" w:cs="Courier New" w:eastAsia="Courier New" w:hAnsi="Courier New"/>
          <w:sz w:val="15"/>
          <w:szCs w:val="15"/>
          <w:color w:val="auto"/>
        </w:rPr>
        <w:t>30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5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17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11.6 Financial</w:t>
            </w:r>
          </w:p>
        </w:tc>
        <w:tc>
          <w:tcPr>
            <w:tcW w:w="7660" w:type="dxa"/>
            <w:vAlign w:val="bottom"/>
          </w:tcPr>
          <w:p>
            <w:pPr>
              <w:spacing w:after="0"/>
              <w:rPr>
                <w:sz w:val="20"/>
                <w:szCs w:val="20"/>
                <w:color w:val="auto"/>
              </w:rPr>
            </w:pPr>
            <w:r>
              <w:rPr>
                <w:rFonts w:ascii="Courier New" w:cs="Courier New" w:eastAsia="Courier New" w:hAnsi="Courier New"/>
                <w:sz w:val="15"/>
                <w:szCs w:val="15"/>
                <w:color w:val="auto"/>
                <w:w w:val="98"/>
              </w:rPr>
              <w:t>Covenants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11.6.1</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Fixed Charge Coverage Ratio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11.6.2</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Leverage Ratio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11.6.3</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11.6.4</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Capital Expenditures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11.6.5</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Tangible Net Worth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940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w w:val="98"/>
              </w:rPr>
              <w:t>11.7 Limitations on Debt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940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w w:val="98"/>
              </w:rPr>
              <w:t>11.8 Liens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940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w w:val="98"/>
              </w:rPr>
              <w:t>11.9 Intentionally Omitted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11.10</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Restricted Payments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11.11</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Mergers,</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Consolidations, Sales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11.12</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Modification of Organizational Documents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11.13</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Use of Proceeds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11.14</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Further Assurances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11.15</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Transactions with Affiliates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Plans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11.17</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Environmental Matters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11.18</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Unconditional Purchase Obligations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11.19</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Inconsistent Agreements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Business</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Activities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11.21</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Investments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11.22</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Fiscal Year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11.23</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Cancellation of Debt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11.24</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Intentionally Omitted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11.25</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Accounts</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11.26</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New Subsidiaries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11.27</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Sale and</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Leaseback Transactions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11.28</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Repurchase Stock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12</w:t>
            </w:r>
          </w:p>
        </w:tc>
        <w:tc>
          <w:tcPr>
            <w:tcW w:w="8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EFFECTIVENESS; CONDITIONS OF LENDING, ETC.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40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w w:val="98"/>
              </w:rPr>
              <w:t>12.1 Initial Credit Extension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12.1.1</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12.1.2</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Resolutions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12.1.3</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Consents, etc.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12.1.4</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Incumbency and Signature Certificates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12.1.5</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Pledge Agreement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12.1.6</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Opinions of Counsel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12.1.7</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Insurance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12.1.8</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Payment of Fees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12.1.9</w:t>
            </w:r>
          </w:p>
        </w:tc>
        <w:tc>
          <w:tcPr>
            <w:tcW w:w="7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Solvency Certificate, Certificate of No Material Adverse Change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12.1.10 Search Results; Lien Terminations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920" w:type="dxa"/>
            <w:vAlign w:val="bottom"/>
          </w:tcPr>
          <w:p>
            <w:pPr>
              <w:spacing w:after="0"/>
              <w:rPr>
                <w:sz w:val="14"/>
                <w:szCs w:val="14"/>
                <w:color w:val="auto"/>
              </w:rPr>
            </w:pPr>
          </w:p>
        </w:tc>
        <w:tc>
          <w:tcPr>
            <w:tcW w:w="8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12.1.11 Filings, Registrations and Recordings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920" w:type="dxa"/>
            <w:vAlign w:val="bottom"/>
          </w:tcPr>
          <w:p>
            <w:pPr>
              <w:spacing w:after="0"/>
              <w:rPr>
                <w:sz w:val="14"/>
                <w:szCs w:val="14"/>
                <w:color w:val="auto"/>
              </w:rPr>
            </w:pPr>
          </w:p>
        </w:tc>
        <w:tc>
          <w:tcPr>
            <w:tcW w:w="8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12.1.12 Closing Certificate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920" w:type="dxa"/>
            <w:vAlign w:val="bottom"/>
          </w:tcPr>
          <w:p>
            <w:pPr>
              <w:spacing w:after="0"/>
              <w:rPr>
                <w:sz w:val="14"/>
                <w:szCs w:val="14"/>
                <w:color w:val="auto"/>
              </w:rPr>
            </w:pPr>
          </w:p>
        </w:tc>
        <w:tc>
          <w:tcPr>
            <w:tcW w:w="8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12.1.13 Governmental Approvals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920" w:type="dxa"/>
            <w:vAlign w:val="bottom"/>
          </w:tcPr>
          <w:p>
            <w:pPr>
              <w:spacing w:after="0"/>
              <w:rPr>
                <w:sz w:val="14"/>
                <w:szCs w:val="14"/>
                <w:color w:val="auto"/>
              </w:rPr>
            </w:pPr>
          </w:p>
        </w:tc>
        <w:tc>
          <w:tcPr>
            <w:tcW w:w="8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12.1.14 Financial Statements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bl>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954"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12.1.15</w:t>
            </w:r>
          </w:p>
        </w:tc>
        <w:tc>
          <w:tcPr>
            <w:tcW w:w="5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Guaranty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12.1.16</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Organizational Documents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12.1.17</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Master Letter of Credit Agreement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12.1.18</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Other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12.2</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Conditions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12.2.1</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Compliance with Warranties, No Default, etc.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12.2.2</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Confirmatory Certificate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SECTION 13</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EVENTS OF DEFAULT AND THEIR EFFECT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13.1</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Events of Default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13.1.1</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Non-Payment of the Loans, etc.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13.1.2</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Non-Payment of Other Debt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13.1.3</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Other Material Obligations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13.1.4</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Bankruptcy, Insolvency, etc.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13.1.5</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Non-Compliance with Loan Documents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13.1.6</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Warranties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13.1.7</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Pension Plans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13.1.8</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Judgments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13.1.9</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Invalidity of Collateral Documents, etc.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13.2</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Effect of</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Event of Default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SECTION 14</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14.1</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Waiver; Amendments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14.2</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Notices</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14.3</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Computations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14.4</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Regulation U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14.5</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Costs, Expenses and Taxes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14.6</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Subsidiary References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14.7</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Captions</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14.8</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Assignments; Participations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14.8.1</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Assignments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8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14.8.2</w:t>
            </w:r>
          </w:p>
        </w:tc>
        <w:tc>
          <w:tcPr>
            <w:tcW w:w="5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Participations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14.9</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Governing Law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14.10</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Counterparts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14.11</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Successors and Assigns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14.12</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Indemnification by the Company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14.13</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Nonliability of Bank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14.14</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Forum Selection and Consent to Jurisdiction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14.15</w:t>
            </w:r>
          </w:p>
        </w:tc>
        <w:tc>
          <w:tcPr>
            <w:tcW w:w="6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Waiver of Jury Trial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954" w:right="1440" w:bottom="1440" w:gutter="0" w:footer="0" w:header="0"/>
        </w:sectPr>
      </w:pPr>
    </w:p>
    <w:bookmarkStart w:id="47" w:name="page48"/>
    <w:bookmarkEnd w:id="47"/>
    <w:p>
      <w:pPr>
        <w:ind w:left="316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ind w:right="240"/>
        <w:spacing w:after="0" w:line="255" w:lineRule="auto"/>
        <w:rPr>
          <w:sz w:val="20"/>
          <w:szCs w:val="20"/>
          <w:color w:val="auto"/>
        </w:rPr>
      </w:pPr>
      <w:r>
        <w:rPr>
          <w:rFonts w:ascii="Courier New" w:cs="Courier New" w:eastAsia="Courier New" w:hAnsi="Courier New"/>
          <w:sz w:val="14"/>
          <w:szCs w:val="14"/>
          <w:color w:val="auto"/>
        </w:rPr>
        <w:t>SCHEDULE 1 SCHEDULE 10.6 SCHEDULE 10.8 SCHEDULE 10.15 SCHEDULE 10.16 SCHEDULE 10.17 SCHEDULE 10.19 SCHEDULE 10.21 SCHEDULE 11.7 SCHEDULE 11.8 SCHEDULE 11.21 SCHEDULE 12.1 SCHEDULE 14.2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Contingent Liabilities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237" w:lineRule="auto"/>
        <w:rPr>
          <w:sz w:val="20"/>
          <w:szCs w:val="20"/>
          <w:color w:val="auto"/>
        </w:rPr>
      </w:pPr>
      <w:r>
        <w:rPr>
          <w:rFonts w:ascii="Courier New" w:cs="Courier New" w:eastAsia="Courier New" w:hAnsi="Courier New"/>
          <w:sz w:val="15"/>
          <w:szCs w:val="15"/>
          <w:color w:val="auto"/>
        </w:rPr>
        <w:t>Environmental Matters</w:t>
      </w:r>
    </w:p>
    <w:p>
      <w:pPr>
        <w:spacing w:after="0" w:line="238" w:lineRule="auto"/>
        <w:rPr>
          <w:sz w:val="20"/>
          <w:szCs w:val="20"/>
          <w:color w:val="auto"/>
        </w:rPr>
      </w:pPr>
      <w:r>
        <w:rPr>
          <w:rFonts w:ascii="Courier New" w:cs="Courier New" w:eastAsia="Courier New" w:hAnsi="Courier New"/>
          <w:sz w:val="15"/>
          <w:szCs w:val="15"/>
          <w:color w:val="auto"/>
        </w:rPr>
        <w:t>Insurance</w:t>
      </w:r>
    </w:p>
    <w:p>
      <w:pPr>
        <w:spacing w:after="0" w:line="237" w:lineRule="auto"/>
        <w:rPr>
          <w:sz w:val="20"/>
          <w:szCs w:val="20"/>
          <w:color w:val="auto"/>
        </w:rPr>
      </w:pPr>
      <w:r>
        <w:rPr>
          <w:rFonts w:ascii="Courier New" w:cs="Courier New" w:eastAsia="Courier New" w:hAnsi="Courier New"/>
          <w:sz w:val="15"/>
          <w:szCs w:val="15"/>
          <w:color w:val="auto"/>
        </w:rPr>
        <w:t>Real Property</w:t>
      </w:r>
    </w:p>
    <w:p>
      <w:pPr>
        <w:spacing w:after="0" w:line="238" w:lineRule="auto"/>
        <w:rPr>
          <w:sz w:val="20"/>
          <w:szCs w:val="20"/>
          <w:color w:val="auto"/>
        </w:rPr>
      </w:pPr>
      <w:r>
        <w:rPr>
          <w:rFonts w:ascii="Courier New" w:cs="Courier New" w:eastAsia="Courier New" w:hAnsi="Courier New"/>
          <w:sz w:val="15"/>
          <w:szCs w:val="15"/>
          <w:color w:val="auto"/>
        </w:rPr>
        <w:t>Intellectual Property</w:t>
      </w:r>
    </w:p>
    <w:p>
      <w:pPr>
        <w:spacing w:after="0" w:line="237" w:lineRule="auto"/>
        <w:rPr>
          <w:sz w:val="20"/>
          <w:szCs w:val="20"/>
          <w:color w:val="auto"/>
        </w:rPr>
      </w:pPr>
      <w:r>
        <w:rPr>
          <w:rFonts w:ascii="Courier New" w:cs="Courier New" w:eastAsia="Courier New" w:hAnsi="Courier New"/>
          <w:sz w:val="15"/>
          <w:szCs w:val="15"/>
          <w:color w:val="auto"/>
        </w:rPr>
        <w:t>Labor Matters</w:t>
      </w:r>
    </w:p>
    <w:p>
      <w:pPr>
        <w:spacing w:after="0" w:line="238" w:lineRule="auto"/>
        <w:rPr>
          <w:sz w:val="20"/>
          <w:szCs w:val="20"/>
          <w:color w:val="auto"/>
        </w:rPr>
      </w:pPr>
      <w:r>
        <w:rPr>
          <w:rFonts w:ascii="Courier New" w:cs="Courier New" w:eastAsia="Courier New" w:hAnsi="Courier New"/>
          <w:sz w:val="15"/>
          <w:szCs w:val="15"/>
          <w:color w:val="auto"/>
        </w:rPr>
        <w:t>Permitted Existing Debt</w:t>
      </w:r>
    </w:p>
    <w:p>
      <w:pPr>
        <w:spacing w:after="0" w:line="237" w:lineRule="auto"/>
        <w:rPr>
          <w:sz w:val="20"/>
          <w:szCs w:val="20"/>
          <w:color w:val="auto"/>
        </w:rPr>
      </w:pPr>
      <w:r>
        <w:rPr>
          <w:rFonts w:ascii="Courier New" w:cs="Courier New" w:eastAsia="Courier New" w:hAnsi="Courier New"/>
          <w:sz w:val="15"/>
          <w:szCs w:val="15"/>
          <w:color w:val="auto"/>
        </w:rPr>
        <w:t>Permitted Existing Liens</w:t>
      </w:r>
    </w:p>
    <w:p>
      <w:pPr>
        <w:spacing w:after="0" w:line="238" w:lineRule="auto"/>
        <w:rPr>
          <w:sz w:val="20"/>
          <w:szCs w:val="20"/>
          <w:color w:val="auto"/>
        </w:rPr>
      </w:pPr>
      <w:r>
        <w:rPr>
          <w:rFonts w:ascii="Courier New" w:cs="Courier New" w:eastAsia="Courier New" w:hAnsi="Courier New"/>
          <w:sz w:val="15"/>
          <w:szCs w:val="15"/>
          <w:color w:val="auto"/>
        </w:rPr>
        <w:t>Investments</w:t>
      </w:r>
    </w:p>
    <w:p>
      <w:pPr>
        <w:spacing w:after="0" w:line="238" w:lineRule="auto"/>
        <w:rPr>
          <w:sz w:val="20"/>
          <w:szCs w:val="20"/>
          <w:color w:val="auto"/>
        </w:rPr>
      </w:pPr>
      <w:r>
        <w:rPr>
          <w:rFonts w:ascii="Courier New" w:cs="Courier New" w:eastAsia="Courier New" w:hAnsi="Courier New"/>
          <w:sz w:val="15"/>
          <w:szCs w:val="15"/>
          <w:color w:val="auto"/>
        </w:rPr>
        <w:t>Debt to be Repaid</w:t>
      </w:r>
    </w:p>
    <w:p>
      <w:pPr>
        <w:spacing w:after="0" w:line="237" w:lineRule="auto"/>
        <w:rPr>
          <w:sz w:val="20"/>
          <w:szCs w:val="20"/>
          <w:color w:val="auto"/>
        </w:rPr>
      </w:pPr>
      <w:r>
        <w:rPr>
          <w:rFonts w:ascii="Courier New" w:cs="Courier New" w:eastAsia="Courier New" w:hAnsi="Courier New"/>
          <w:sz w:val="15"/>
          <w:szCs w:val="15"/>
          <w:color w:val="auto"/>
        </w:rPr>
        <w:t>Addresses for Notices</w:t>
      </w:r>
    </w:p>
    <w:p>
      <w:pPr>
        <w:spacing w:after="0" w:line="167" w:lineRule="exact"/>
        <w:rPr>
          <w:sz w:val="20"/>
          <w:szCs w:val="20"/>
          <w:color w:val="auto"/>
        </w:rPr>
      </w:pPr>
    </w:p>
    <w:p>
      <w:pPr>
        <w:sectPr>
          <w:pgSz w:w="11900" w:h="16838" w:orient="portrait"/>
          <w:cols w:equalWidth="0" w:num="2">
            <w:col w:w="1480" w:space="720"/>
            <w:col w:w="8039"/>
          </w:cols>
          <w:pgMar w:left="220" w:top="624"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39"/>
          </w:cols>
          <w:pgMar w:left="220" w:top="624" w:right="1440" w:bottom="1440" w:gutter="0" w:footer="0" w:header="0"/>
          <w:type w:val="continuous"/>
        </w:sectPr>
      </w:pPr>
    </w:p>
    <w:bookmarkStart w:id="48" w:name="page49"/>
    <w:bookmarkEnd w:id="48"/>
    <w:p>
      <w:pPr>
        <w:ind w:left="3160"/>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Form of Revolving Loan Note (Section 3.1)</w:t>
      </w:r>
    </w:p>
    <w:p>
      <w:pPr>
        <w:spacing w:after="0"/>
        <w:tabs>
          <w:tab w:leader="none" w:pos="122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Form of Compliance Certificate (Section 10.1.3)</w:t>
      </w:r>
    </w:p>
    <w:p>
      <w:pPr>
        <w:spacing w:after="0"/>
        <w:tabs>
          <w:tab w:leader="none" w:pos="122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4"/>
          <w:szCs w:val="14"/>
          <w:color w:val="auto"/>
        </w:rPr>
        <w:t>Form of Pledge Agreement (Section 1.1)</w:t>
      </w:r>
    </w:p>
    <w:p>
      <w:pPr>
        <w:spacing w:after="0"/>
        <w:tabs>
          <w:tab w:leader="none" w:pos="122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4"/>
          <w:szCs w:val="14"/>
          <w:color w:val="auto"/>
        </w:rPr>
        <w:t>Form of Guaranty (Section 12.1.17)</w:t>
      </w:r>
    </w:p>
    <w:p>
      <w:pPr>
        <w:spacing w:after="0"/>
        <w:tabs>
          <w:tab w:leader="none" w:pos="122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4"/>
          <w:szCs w:val="14"/>
          <w:color w:val="auto"/>
        </w:rPr>
        <w:t>Form of Opinion of Shutts &amp; Bowen, LLP (Section 11.1.11)</w:t>
      </w:r>
    </w:p>
    <w:p>
      <w:pPr>
        <w:spacing w:after="0"/>
        <w:tabs>
          <w:tab w:leader="none" w:pos="122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4"/>
          <w:szCs w:val="14"/>
          <w:color w:val="auto"/>
        </w:rPr>
        <w:t>Form of Master Letter of Credit Agreement (Section 12.1.17)</w:t>
      </w:r>
    </w:p>
    <w:p>
      <w:pPr>
        <w:spacing w:after="0"/>
        <w:tabs>
          <w:tab w:leader="none" w:pos="1220" w:val="left"/>
        </w:tabs>
        <w:rPr>
          <w:sz w:val="20"/>
          <w:szCs w:val="20"/>
          <w:color w:val="auto"/>
        </w:rPr>
      </w:pPr>
      <w:r>
        <w:rPr>
          <w:rFonts w:ascii="Courier New" w:cs="Courier New" w:eastAsia="Courier New" w:hAnsi="Courier New"/>
          <w:sz w:val="15"/>
          <w:szCs w:val="15"/>
          <w:color w:val="auto"/>
        </w:rPr>
        <w:t>EXHIBIT F-1</w:t>
      </w:r>
      <w:r>
        <w:rPr>
          <w:sz w:val="20"/>
          <w:szCs w:val="20"/>
          <w:color w:val="auto"/>
        </w:rPr>
        <w:tab/>
      </w:r>
      <w:r>
        <w:rPr>
          <w:rFonts w:ascii="Courier New" w:cs="Courier New" w:eastAsia="Courier New" w:hAnsi="Courier New"/>
          <w:sz w:val="14"/>
          <w:szCs w:val="14"/>
          <w:color w:val="auto"/>
        </w:rPr>
        <w:t>Letter of Credit Application (Standby)</w:t>
      </w:r>
    </w:p>
    <w:p>
      <w:pPr>
        <w:spacing w:after="0"/>
        <w:tabs>
          <w:tab w:leader="none" w:pos="1220" w:val="left"/>
        </w:tabs>
        <w:rPr>
          <w:sz w:val="20"/>
          <w:szCs w:val="20"/>
          <w:color w:val="auto"/>
        </w:rPr>
      </w:pPr>
      <w:r>
        <w:rPr>
          <w:rFonts w:ascii="Courier New" w:cs="Courier New" w:eastAsia="Courier New" w:hAnsi="Courier New"/>
          <w:sz w:val="15"/>
          <w:szCs w:val="15"/>
          <w:color w:val="auto"/>
        </w:rPr>
        <w:t>EXHIBIT F-2</w:t>
      </w:r>
      <w:r>
        <w:rPr>
          <w:sz w:val="20"/>
          <w:szCs w:val="20"/>
          <w:color w:val="auto"/>
        </w:rPr>
        <w:tab/>
      </w:r>
      <w:r>
        <w:rPr>
          <w:rFonts w:ascii="Courier New" w:cs="Courier New" w:eastAsia="Courier New" w:hAnsi="Courier New"/>
          <w:sz w:val="14"/>
          <w:szCs w:val="14"/>
          <w:color w:val="auto"/>
        </w:rPr>
        <w:t>Letter of Credit Application (Commercial)</w:t>
      </w:r>
    </w:p>
    <w:p>
      <w:pPr>
        <w:spacing w:after="0"/>
        <w:tabs>
          <w:tab w:leader="none" w:pos="1220" w:val="left"/>
        </w:tabs>
        <w:rPr>
          <w:sz w:val="20"/>
          <w:szCs w:val="20"/>
          <w:color w:val="auto"/>
        </w:rPr>
      </w:pPr>
      <w:r>
        <w:rPr>
          <w:rFonts w:ascii="Courier New" w:cs="Courier New" w:eastAsia="Courier New" w:hAnsi="Courier New"/>
          <w:sz w:val="15"/>
          <w:szCs w:val="15"/>
          <w:color w:val="auto"/>
        </w:rPr>
        <w:t>EXHIBIT G</w:t>
      </w:r>
      <w:r>
        <w:rPr>
          <w:sz w:val="20"/>
          <w:szCs w:val="20"/>
          <w:color w:val="auto"/>
        </w:rPr>
        <w:tab/>
      </w:r>
      <w:r>
        <w:rPr>
          <w:rFonts w:ascii="Courier New" w:cs="Courier New" w:eastAsia="Courier New" w:hAnsi="Courier New"/>
          <w:sz w:val="14"/>
          <w:szCs w:val="14"/>
          <w:color w:val="auto"/>
        </w:rPr>
        <w:t>Form of Certificate of No Material Adverse Change (Section 12.1.9)</w:t>
      </w:r>
    </w:p>
    <w:p>
      <w:pPr>
        <w:spacing w:after="0"/>
        <w:tabs>
          <w:tab w:leader="none" w:pos="1220" w:val="left"/>
        </w:tabs>
        <w:rPr>
          <w:sz w:val="20"/>
          <w:szCs w:val="20"/>
          <w:color w:val="auto"/>
        </w:rPr>
      </w:pPr>
      <w:r>
        <w:rPr>
          <w:rFonts w:ascii="Courier New" w:cs="Courier New" w:eastAsia="Courier New" w:hAnsi="Courier New"/>
          <w:sz w:val="15"/>
          <w:szCs w:val="15"/>
          <w:color w:val="auto"/>
        </w:rPr>
        <w:t>EXHIBIT H</w:t>
      </w:r>
      <w:r>
        <w:rPr>
          <w:sz w:val="20"/>
          <w:szCs w:val="20"/>
          <w:color w:val="auto"/>
        </w:rPr>
        <w:tab/>
      </w:r>
      <w:r>
        <w:rPr>
          <w:rFonts w:ascii="Courier New" w:cs="Courier New" w:eastAsia="Courier New" w:hAnsi="Courier New"/>
          <w:sz w:val="14"/>
          <w:szCs w:val="14"/>
          <w:color w:val="auto"/>
        </w:rPr>
        <w:t>Form of Solvency Certificate - Guarantors (Section 12.1.9)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39"/>
          </w:cols>
          <w:pgMar w:left="220" w:top="617" w:right="1440" w:bottom="1440" w:gutter="0" w:footer="0" w:header="0"/>
        </w:sectPr>
      </w:pPr>
    </w:p>
    <w:bookmarkStart w:id="49" w:name="page50"/>
    <w:bookmarkEnd w:id="49"/>
    <w:p>
      <w:pPr>
        <w:ind w:left="2800"/>
        <w:spacing w:after="0"/>
        <w:rPr>
          <w:sz w:val="20"/>
          <w:szCs w:val="20"/>
          <w:color w:val="auto"/>
        </w:rPr>
      </w:pPr>
      <w:r>
        <w:rPr>
          <w:rFonts w:ascii="Courier New" w:cs="Courier New" w:eastAsia="Courier New" w:hAnsi="Courier New"/>
          <w:sz w:val="15"/>
          <w:szCs w:val="15"/>
          <w:color w:val="auto"/>
        </w:rPr>
        <w:t>CREDIT AGREEMENT</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CREDIT AGREEMENT dated as of December 7, 2001 (this "Agreement") is</w:t>
      </w:r>
    </w:p>
    <w:p>
      <w:pPr>
        <w:ind w:left="5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entered into between WORLD FUEL SERVICES CORPORATION (the "Company") and LASALLE</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BANK NATIONAL ASSOCIATION (the "Bank").</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the Bank has agreed to make available to the Company a revolving credit facility and other financial accommodations upon the terms and conditions set forth herein;</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NOW, THEREFORE, in consideration of the mutual agreements herein contained, the parties hereto agree as 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DEFINITIONS.</w:t>
      </w:r>
    </w:p>
    <w:p>
      <w:pPr>
        <w:spacing w:after="0" w:line="166" w:lineRule="exact"/>
        <w:rPr>
          <w:sz w:val="20"/>
          <w:szCs w:val="20"/>
          <w:color w:val="auto"/>
        </w:rPr>
      </w:pPr>
    </w:p>
    <w:p>
      <w:pPr>
        <w:ind w:left="440"/>
        <w:spacing w:after="0"/>
        <w:tabs>
          <w:tab w:leader="none" w:pos="860" w:val="left"/>
          <w:tab w:leader="none" w:pos="2080" w:val="left"/>
        </w:tabs>
        <w:rPr>
          <w:sz w:val="20"/>
          <w:szCs w:val="20"/>
          <w:color w:val="auto"/>
        </w:rPr>
      </w:pPr>
      <w:r>
        <w:rPr>
          <w:rFonts w:ascii="Courier New" w:cs="Courier New" w:eastAsia="Courier New" w:hAnsi="Courier New"/>
          <w:sz w:val="15"/>
          <w:szCs w:val="15"/>
          <w:color w:val="auto"/>
        </w:rPr>
        <w:t>1.1</w:t>
        <w:tab/>
        <w:t>Definitions.</w:t>
      </w:r>
      <w:r>
        <w:rPr>
          <w:sz w:val="20"/>
          <w:szCs w:val="20"/>
          <w:color w:val="auto"/>
        </w:rPr>
        <w:tab/>
      </w:r>
      <w:r>
        <w:rPr>
          <w:rFonts w:ascii="Courier New" w:cs="Courier New" w:eastAsia="Courier New" w:hAnsi="Courier New"/>
          <w:sz w:val="14"/>
          <w:szCs w:val="14"/>
          <w:color w:val="auto"/>
        </w:rPr>
        <w:t>When used herein the following terms shall have the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following meanings: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Affected Loan - see Section 8.3.</w:t>
      </w:r>
    </w:p>
    <w:p>
      <w:pPr>
        <w:ind w:left="440"/>
        <w:spacing w:after="0" w:line="237" w:lineRule="auto"/>
        <w:tabs>
          <w:tab w:leader="none" w:pos="2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Affiliate of any Person means (i) any other Person which, directly or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indirectly, controls or is controlled by or is under common control with such Person and (ii) any officer or director of such Person. A Person shall be deemed to be "controlled by" any other Person if such Person possesses, directly or indirectly, power to vote 20% or more of the securities (on a fully diluted basis) having ordinary voting power for the election of directors or managers or power to direct or cause the direction of the management and policies of such Person whether by contract or otherwise.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 see the Preamble.</w:t>
      </w:r>
    </w:p>
    <w:p>
      <w:pPr>
        <w:ind w:left="440"/>
        <w:spacing w:after="0" w:line="237" w:lineRule="auto"/>
        <w:tabs>
          <w:tab w:leader="none" w:pos="2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Asset Sale means the sale, lease, assignment or other transfer for value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(each a "Disposition") by the Company or any Subsidiary to any Person (other</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than the Company or any Subsidiary) of any asset or right of the Company or such Subsidiary other than (a) the Disposition of any asset which is to be replaced, and is in fact replaced, within 180 days with another asset performing the same or a similar function, and (b) the sale or lease of inventory in the ordinary course of business.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Attorney Costs means, with respect to any Person, all reasonable fees and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charges of any counsel to such Person, the reasonable allocable cost of internal legal services of such Person, all reasonable disbursements of such internal counsel and all court costs and similar legal expenses.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Bank - see the Preamble.</w:t>
      </w:r>
    </w:p>
    <w:p>
      <w:pPr>
        <w:ind w:left="1760" w:hanging="1313"/>
        <w:spacing w:after="0" w:line="237" w:lineRule="auto"/>
        <w:tabs>
          <w:tab w:leader="none" w:pos="17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sectPr>
      </w:pPr>
    </w:p>
    <w:bookmarkStart w:id="50" w:name="page51"/>
    <w:bookmarkEnd w:id="50"/>
    <w:p>
      <w:pPr>
        <w:ind w:left="440"/>
        <w:spacing w:after="0"/>
        <w:rPr>
          <w:sz w:val="20"/>
          <w:szCs w:val="20"/>
          <w:color w:val="auto"/>
        </w:rPr>
      </w:pPr>
      <w:r>
        <w:rPr>
          <w:rFonts w:ascii="Courier New" w:cs="Courier New" w:eastAsia="Courier New" w:hAnsi="Courier New"/>
          <w:sz w:val="14"/>
          <w:szCs w:val="14"/>
          <w:color w:val="auto"/>
        </w:rPr>
        <w:t>Business Day means any day on which the Bank is open for commercial banking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business in Chicago, Illinois and, in the case of a Business Day which relates to a Eurodollar Loan, on which dealings are carried on in the London interbank eurodollar market.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Expenditures means any expenditure which, in accordance with GAAP,</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would be required to be capitalized and shown on the consolidated balance sheet of the Company, but excluding an expenditure made in connection with the replacement, substitution or restoration of assets to the extent financed (i) from insurance proceeds (or other similar recoveries) paid on account of the loss of or damage to the assets being replaced or restored or (ii) with awards of compensation arising from the taking by eminent domain or condemnation of the assets being replaced.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Lease means, with respect to any Person, any lease of (or other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agreement conveying the right to use) any real or personal property by such Person that, in conformity with GAAP, is accounted for as a capital lease on the balance sheet of such Person.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Collateralize means to deliver cash collateral to the Bank, to be held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as cash collateral for outstanding Letters of Credit, pursuant to documentation satisfactory to the Bank.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 Investment means, at any time, (a) any evidence of Debt,</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maturing not more than one year after such time, issued or guaranteed by the United States Government or any agency thereof, (b) commercial paper, maturing not more than one year from the date of issue, or corporate demand notes, in each case (unless issued by the Bank or its holding company) rated at least A-l by Standard &amp; Poor's Ratings Group or P-l by Moody's Investors Service, Inc.,</w:t>
      </w:r>
    </w:p>
    <w:p>
      <w:pPr>
        <w:spacing w:after="0" w:line="2" w:lineRule="exact"/>
        <w:rPr>
          <w:sz w:val="20"/>
          <w:szCs w:val="20"/>
          <w:color w:val="auto"/>
        </w:rPr>
      </w:pPr>
    </w:p>
    <w:p>
      <w:pPr>
        <w:ind w:right="3239" w:firstLine="10"/>
        <w:spacing w:after="0" w:line="254" w:lineRule="auto"/>
        <w:tabs>
          <w:tab w:leader="none" w:pos="35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certificate of deposit (or time deposits represented by such certificates of deposit) or banker's acceptance, maturing not more than one year after such time, or overnight Federal Funds transactions that are issued or sold by the Bank or its holding company or by a commercial banking institution that is a member of the Federal Reserve System and has a combined capital and surplus and undivided profits of not less than $500,000,000 and (d) any repurchase agreement entered into with the Bank (or other commercial banking institution of the stature referred to in clause (c)) which (i) is secured by a fully perfected</w:t>
      </w:r>
    </w:p>
    <w:p>
      <w:pPr>
        <w:ind w:left="238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interest in any obligation of the type described in any of clauses (a)</w:t>
      </w:r>
    </w:p>
    <w:p>
      <w:pPr>
        <w:spacing w:after="0" w:line="3"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(c) and (ii) has a market value at the time such repurchase agreement is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entered into of not less than 100% of the repurchase obligation of the Bank (or other commercial banking institution) thereunder.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CERCLA - see Section 10.15.</w:t>
      </w:r>
    </w:p>
    <w:p>
      <w:pPr>
        <w:ind w:left="440"/>
        <w:spacing w:after="0" w:line="237" w:lineRule="auto"/>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Date - see Section 12.1.</w:t>
      </w:r>
    </w:p>
    <w:p>
      <w:pPr>
        <w:ind w:left="440"/>
        <w:spacing w:after="0" w:line="237" w:lineRule="auto"/>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Code means the Internal Revenue Code of 1986.</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Collateral means collectively, the property of the Company, any Subsidiary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or any other Person in which the Bank is granted a Lien as security for all or any portion of the Obligations under any Pledge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51" w:name="page52"/>
    <w:bookmarkEnd w:id="51"/>
    <w:p>
      <w:pPr>
        <w:ind w:left="440"/>
        <w:spacing w:after="0"/>
        <w:rPr>
          <w:sz w:val="20"/>
          <w:szCs w:val="20"/>
          <w:color w:val="auto"/>
        </w:rPr>
      </w:pPr>
      <w:r>
        <w:rPr>
          <w:rFonts w:ascii="Courier New" w:cs="Courier New" w:eastAsia="Courier New" w:hAnsi="Courier New"/>
          <w:sz w:val="15"/>
          <w:szCs w:val="15"/>
          <w:color w:val="auto"/>
        </w:rPr>
        <w:t>Collateral Documents means the Pledge Agreement, each UCC financing</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statement, and any other agreement or instrument pursuant to which the Company, any Subsidiary or any other Person grants collateral to the Bank.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Commitment means the Bank's commitment to make Loans and issue Letters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Credit under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 see the Preamble.</w:t>
      </w:r>
    </w:p>
    <w:p>
      <w:pPr>
        <w:ind w:left="440"/>
        <w:spacing w:after="0" w:line="237" w:lineRule="auto"/>
        <w:tabs>
          <w:tab w:leader="none" w:pos="2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Computation Period means each period of four consecutive Fiscal Quarters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ending on the last day of a Fiscal Quarter.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Net Income means, with respect to the Company and its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579"/>
        <w:spacing w:after="0" w:line="254" w:lineRule="auto"/>
        <w:rPr>
          <w:sz w:val="20"/>
          <w:szCs w:val="20"/>
          <w:color w:val="auto"/>
        </w:rPr>
      </w:pPr>
      <w:r>
        <w:rPr>
          <w:rFonts w:ascii="Courier New" w:cs="Courier New" w:eastAsia="Courier New" w:hAnsi="Courier New"/>
          <w:sz w:val="14"/>
          <w:szCs w:val="14"/>
          <w:color w:val="auto"/>
        </w:rPr>
        <w:t>Subsidiaries for any period, the net income (or loss) of the Company and its Subsidiaries for such period determined in accordance with GAAP applied on a basis consistent with the financial statements delivered pursuant to Section</w:t>
      </w:r>
    </w:p>
    <w:p>
      <w:pPr>
        <w:ind w:left="604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11.1 and Section 11.2.</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Controlled Group means all members of a controlled group of corporations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and all members of a controlled group of trades or businesses (whether or not incorporated) under common control which, together with the Company, are treated as a single employer under Section 414 of the Code or Section 4001 of ERISA.</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Debt of any Person means, without duplication, (a) all indebtedness of such</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Person for borrowed money, whether or not evidenced by bonds, debentures, notes or similar instruments, (b) all obligations of such Person as lessee under Capital Leases which have been or should be recorded as liabilities on a balance sheet of such Person in accordance with GAAP, (c) all obligations of such Person to pay the deferred purchase price of property or services (excluding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Hedging Obligations of such Person, (g) all Suretyship Liabilities of such Person and (h) all Debt of any partnership of which such Person is a general partner; provided, however, that Debt shall not include (a)</w:t>
      </w:r>
    </w:p>
    <w:p>
      <w:pPr>
        <w:ind w:left="2540"/>
        <w:spacing w:after="0" w:line="237" w:lineRule="auto"/>
        <w:tabs>
          <w:tab w:leader="none" w:pos="34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accrued expenses, (b) customer deposits, (c) income taxes payable, (d) deferred compensation or (e) deferred tax.</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to be Repaid means Debt listed on Schedule 12.1.</w:t>
      </w:r>
    </w:p>
    <w:p>
      <w:pPr>
        <w:ind w:left="440"/>
        <w:spacing w:after="0" w:line="237" w:lineRule="auto"/>
        <w:tabs>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Disposal - see the definition of "Release".</w:t>
      </w:r>
    </w:p>
    <w:p>
      <w:pPr>
        <w:ind w:left="440"/>
        <w:spacing w:after="0" w:line="237" w:lineRule="auto"/>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Dollar and the sign "$" mean lawful money of the United States of America.</w:t>
      </w:r>
    </w:p>
    <w:p>
      <w:pPr>
        <w:spacing w:after="0" w:line="3" w:lineRule="exact"/>
        <w:rPr>
          <w:sz w:val="20"/>
          <w:szCs w:val="20"/>
          <w:color w:val="auto"/>
        </w:rPr>
      </w:pP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52" w:name="page53"/>
    <w:bookmarkEnd w:id="52"/>
    <w:p>
      <w:pPr>
        <w:ind w:left="440"/>
        <w:spacing w:after="0"/>
        <w:rPr>
          <w:sz w:val="20"/>
          <w:szCs w:val="20"/>
          <w:color w:val="auto"/>
        </w:rPr>
      </w:pPr>
      <w:r>
        <w:rPr>
          <w:rFonts w:ascii="Courier New" w:cs="Courier New" w:eastAsia="Courier New" w:hAnsi="Courier New"/>
          <w:sz w:val="14"/>
          <w:szCs w:val="14"/>
          <w:color w:val="auto"/>
        </w:rPr>
        <w:t>Domestic Subsidiary means any Subsidiary of the Company organized under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laws of the United States of America, any state or territory thereof or the District of Columbia.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Environmental Claim means a claim, however asserted, by any governmental,</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regulatory or judicial authority or other Person alleging potential liability or responsibility for violation of any Environmental Law, or for release or injury to the environment.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Environmental Laws means all present or future federal, state or local</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laws, statutes, common law duties, rules, regulations, ordinances and codes, together with all administrative orders, directed duties, requests, licenses, authorizations and permits of, and agreements with, any governmental authority, in each case relating to Environmental Matters.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Environmental Matter means any matter arising out of or relating to health</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and safety, or pollution or protection of the environment or workplace, including any of the foregoing relating to the presence, use, production, generation, handling, transport, treatment, storage, disposal, distribution, discharge, release, control or cleanup of any Hazardous Substance.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ERISA means the Employee Retirement Income Security Act of 1974.</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Eurocurrency Reserve Percentage means, with respect to any Eurodollar Loan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any Interest Period, a percentage (expressed as a decimal) equal to the daily average during such Interest Period of the percentage in effect on each day of such Interest Period, as prescribed by the FRB, for determining the aggregate maximum reserve requirements applicable to "Eurocurrency Liabilities" pursuant to Regulation D or any other then applicable regulation of the FRB which prescribes reserve requirements applicable to "Eurocurrency Liabilities" as presently defined in Regulation 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Eurodollar Loan means any Loan which bears interest at a rate determined by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reference to the Eurodollar Rate (Reserve Adjusted).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Eurodollar Margin - see the Pricing Schedule.</w:t>
      </w:r>
    </w:p>
    <w:p>
      <w:pPr>
        <w:ind w:left="440"/>
        <w:spacing w:after="0" w:line="237" w:lineRule="auto"/>
        <w:tabs>
          <w:tab w:leader="none" w:pos="2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Eurodollar Office means the office or offices of the Bank which shall be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making or maintaining the Eurodollar Loans of the Bank hereunder. A Eurodollar Office of the Bank may be, at the option of the Bank, either a domestic or foreign office.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Eurodollar Rate means, with respect to any Eurodollar Loan for any Interest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Period, a rate per annum equal to the offered rate for deposits in Dollars for a period equal or comparable to such Interest Period which appears on Telerate page 3750 as of 11:00 A.M. (London time) two Business Days prior to the first day of such Interest Period. "Telerate Page 3750" means the display designated as "Page 3750" on the Telerate Service (or such other page as may replace page 3750 on that service or such other service as may be nominated by the British Bankers' Association as the information vendor for the purpose of displaying British Bankers' Association Interest Settlement Rates for Dollar deposits).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53" w:name="page54"/>
    <w:bookmarkEnd w:id="53"/>
    <w:p>
      <w:pPr>
        <w:ind w:left="440"/>
        <w:spacing w:after="0"/>
        <w:rPr>
          <w:sz w:val="20"/>
          <w:szCs w:val="20"/>
          <w:color w:val="auto"/>
        </w:rPr>
      </w:pPr>
      <w:r>
        <w:rPr>
          <w:rFonts w:ascii="Courier New" w:cs="Courier New" w:eastAsia="Courier New" w:hAnsi="Courier New"/>
          <w:sz w:val="14"/>
          <w:szCs w:val="14"/>
          <w:color w:val="auto"/>
        </w:rPr>
        <w:t>Eurodollar Rate (Reserve Adjusted) means, with respect to any Eurodollar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Loan for any Interest Period, a rate per annum (rounded upwards, if necessary, to the nearest 1/16th of 1%) determined pursuant to the following formula:</w:t>
      </w:r>
    </w:p>
    <w:p>
      <w:pPr>
        <w:sectPr>
          <w:pgSz w:w="11900" w:h="16838" w:orient="portrait"/>
          <w:cols w:equalWidth="0" w:num="1">
            <w:col w:w="10239"/>
          </w:cols>
          <w:pgMar w:left="220" w:top="624" w:right="1440" w:bottom="1440" w:gutter="0" w:footer="0" w:header="0"/>
        </w:sectPr>
      </w:pPr>
    </w:p>
    <w:p>
      <w:pPr>
        <w:spacing w:after="0" w:line="15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Eurodollar Rate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(Reserve Adjusted)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1-Eurocurrency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Percentage.</w:t>
      </w:r>
    </w:p>
    <w:p>
      <w:pPr>
        <w:spacing w:after="0" w:line="171" w:lineRule="exact"/>
        <w:rPr>
          <w:sz w:val="20"/>
          <w:szCs w:val="20"/>
          <w:color w:val="auto"/>
        </w:rPr>
      </w:pPr>
    </w:p>
    <w:p>
      <w:pPr>
        <w:sectPr>
          <w:pgSz w:w="11900" w:h="16838" w:orient="portrait"/>
          <w:cols w:equalWidth="0" w:num="3">
            <w:col w:w="3160" w:space="340"/>
            <w:col w:w="100" w:space="520"/>
            <w:col w:w="6119"/>
          </w:cols>
          <w:pgMar w:left="220" w:top="624"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Event of Default means any of the events described in Section 13.1.</w:t>
      </w:r>
    </w:p>
    <w:p>
      <w:pPr>
        <w:ind w:left="440"/>
        <w:spacing w:after="0" w:line="237" w:lineRule="auto"/>
        <w:tabs>
          <w:tab w:leader="none" w:pos="5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Fiscal Quarter means a fiscal quarter of a Fiscal Year.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Fiscal Year means the fiscal year of the Company and its Subsidiaries,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which period shall be the 12-month period ending on March 31 of each year. References to a Fiscal Year with a number corresponding to any calendar year (e.g., "Fiscal Year 1998") refer to the Fiscal Year ending on March 31 of such calendar year.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Fixed Charge Coverage Ratio means, with respect to the Company and its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for any Computation Period, on a consolidated basis, the ratio of</w:t>
      </w:r>
    </w:p>
    <w:p>
      <w:pPr>
        <w:spacing w:after="0" w:line="10" w:lineRule="exact"/>
        <w:rPr>
          <w:sz w:val="20"/>
          <w:szCs w:val="20"/>
          <w:color w:val="auto"/>
        </w:rPr>
      </w:pPr>
    </w:p>
    <w:p>
      <w:pPr>
        <w:ind w:right="3319" w:firstLine="10"/>
        <w:spacing w:after="0" w:line="235" w:lineRule="auto"/>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Interest Expense, plus taxes, plus depreciation and amortization, less Capital Expenditures, to (ii) interest expense, plus current maturities of long-term debt and Capital Leases, plus dividends.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Subsidiary means a Subsidiary other than a Domestic Subsidiary.</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FRB means the Board of Governors of the Federal Reserve System or any</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successor thereto.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GAAP means generally accepted accounting principles set forth from time 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time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Guarantors mean all Material Domestic Subsidiaries.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Guaranty means the Guaranty, substantially in the form of Exhibit D,</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executed by the Guarantors in favor of the Bank, together with any other guaranty executed and delivered to the Bank in connection with the Obligations.</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Hazardous Substances - see Section 10.15.</w:t>
      </w:r>
    </w:p>
    <w:p>
      <w:pPr>
        <w:ind w:left="440"/>
        <w:spacing w:after="0" w:line="237" w:lineRule="auto"/>
        <w:tabs>
          <w:tab w:leader="none" w:pos="2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type w:val="continuous"/>
        </w:sectPr>
      </w:pPr>
    </w:p>
    <w:bookmarkStart w:id="54" w:name="page55"/>
    <w:bookmarkEnd w:id="54"/>
    <w:p>
      <w:pPr>
        <w:ind w:left="440"/>
        <w:spacing w:after="0"/>
        <w:rPr>
          <w:sz w:val="20"/>
          <w:szCs w:val="20"/>
          <w:color w:val="auto"/>
        </w:rPr>
      </w:pPr>
      <w:r>
        <w:rPr>
          <w:rFonts w:ascii="Courier New" w:cs="Courier New" w:eastAsia="Courier New" w:hAnsi="Courier New"/>
          <w:sz w:val="15"/>
          <w:szCs w:val="15"/>
          <w:color w:val="auto"/>
        </w:rPr>
        <w:t>Hedging Agreement means any interest rate, currency or commodity swap</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agreement, cap agreement or collar agreement, and any other agreement or arrangement designed to protect a Person against fluctuations in interest rates, currency exchange rates or commodity prices.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Hedging Obligation means, with respect to any Person, any liability of such</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Person under any Hedging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Expense means for any period the consolidated interest expense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and its Subsidiaries for such period (including all imputed interest on Capital Leases).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Period means, as to any Eurodollar Loan, the period commencing 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date such Loan is borrowed or continued</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as, or</w:t>
            </w:r>
          </w:p>
        </w:tc>
        <w:tc>
          <w:tcPr>
            <w:tcW w:w="25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converted into, a Eurodollar</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 and ending on the date one, two, three</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or six</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months</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thereafter as selected</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by the Company pursuant to Section 2.2.2 or 2.2.3,</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as the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case may be; provided</w:t>
            </w:r>
          </w:p>
        </w:tc>
      </w:tr>
      <w:tr>
        <w:trPr>
          <w:trHeight w:val="168"/>
        </w:trPr>
        <w:tc>
          <w:tcPr>
            <w:tcW w:w="382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that: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tcPr>
          <w:p>
            <w:pPr>
              <w:spacing w:after="0"/>
              <w:rPr>
                <w:sz w:val="14"/>
                <w:szCs w:val="14"/>
                <w:color w:val="auto"/>
              </w:rPr>
            </w:pPr>
          </w:p>
        </w:tc>
      </w:tr>
    </w:tbl>
    <w:p>
      <w:pPr>
        <w:spacing w:after="0" w:line="173" w:lineRule="exact"/>
        <w:rPr>
          <w:sz w:val="20"/>
          <w:szCs w:val="20"/>
          <w:color w:val="auto"/>
        </w:rPr>
      </w:pPr>
    </w:p>
    <w:p>
      <w:pPr>
        <w:ind w:left="1320" w:right="3319" w:firstLine="439"/>
        <w:spacing w:after="0" w:line="236" w:lineRule="auto"/>
        <w:tabs>
          <w:tab w:leader="none" w:pos="228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end on a day that is not a Business Day, such Interest Period shall be extended to the following Business Day unless the result of such extension would be to carry such Interest Period into another calendar month, in which event such Interest Period shall end on the preceding Business Day;</w:t>
      </w:r>
    </w:p>
    <w:p>
      <w:pPr>
        <w:spacing w:after="0" w:line="174" w:lineRule="exact"/>
        <w:rPr>
          <w:rFonts w:ascii="Courier New" w:cs="Courier New" w:eastAsia="Courier New" w:hAnsi="Courier New"/>
          <w:sz w:val="15"/>
          <w:szCs w:val="15"/>
          <w:color w:val="auto"/>
        </w:rPr>
      </w:pPr>
    </w:p>
    <w:p>
      <w:pPr>
        <w:ind w:left="1320" w:right="3239" w:firstLine="439"/>
        <w:spacing w:after="0" w:line="256" w:lineRule="auto"/>
        <w:tabs>
          <w:tab w:leader="none" w:pos="228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that begins on a day for which there is no numerically corresponding day in the calendar month at the end of such Interest Period shall end on the last Business Day of the calendar month at the end of such Interest Period; and</w:t>
      </w:r>
    </w:p>
    <w:p>
      <w:pPr>
        <w:spacing w:after="0" w:line="164" w:lineRule="exact"/>
        <w:rPr>
          <w:rFonts w:ascii="Courier New" w:cs="Courier New" w:eastAsia="Courier New" w:hAnsi="Courier New"/>
          <w:sz w:val="14"/>
          <w:szCs w:val="14"/>
          <w:color w:val="auto"/>
        </w:rPr>
      </w:pPr>
    </w:p>
    <w:p>
      <w:pPr>
        <w:ind w:left="1320" w:right="3399" w:firstLine="439"/>
        <w:spacing w:after="0" w:line="235" w:lineRule="auto"/>
        <w:tabs>
          <w:tab w:leader="none" w:pos="228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select any Interest Period for a Revolving Loan which would extend beyond the scheduled Termination Date.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means, relative to any Person, any investment in another Person,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whether by acquisition of any debt or equity security, by making any loan or advance or by becoming obligated with respect to a Suretyship Liability in respect of obligations of such other Person (other than travel and similar advances to employees in the ordinary course of business).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Letter of Credit - see Section 2.1.2</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Letter of Credit Application means with respect to the request for the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issuance of a Letter of Credit, a letter of credit application in the form being used by Bank at the time of such request for the type of letter of credit requested (in accordance with and subject to the terms and conditions of the Master Letter of Credit Agreement), substantially in the form of Exhibit F-1 or</w:t>
      </w:r>
    </w:p>
    <w:p>
      <w:pPr>
        <w:ind w:left="5700"/>
        <w:spacing w:after="0" w:line="232"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Exhibit F-2, as applicable.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Letter of Credit Fee Rate - see the Pricing Schedule.</w:t>
      </w:r>
    </w:p>
    <w:p>
      <w:pPr>
        <w:ind w:left="440"/>
        <w:spacing w:after="0" w:line="237" w:lineRule="auto"/>
        <w:tabs>
          <w:tab w:leader="none" w:pos="3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55" w:name="page56"/>
    <w:bookmarkEnd w:id="55"/>
    <w:p>
      <w:pPr>
        <w:ind w:left="440"/>
        <w:spacing w:after="0"/>
        <w:rPr>
          <w:sz w:val="20"/>
          <w:szCs w:val="20"/>
          <w:color w:val="auto"/>
        </w:rPr>
      </w:pPr>
      <w:r>
        <w:rPr>
          <w:rFonts w:ascii="Courier New" w:cs="Courier New" w:eastAsia="Courier New" w:hAnsi="Courier New"/>
          <w:sz w:val="15"/>
          <w:szCs w:val="15"/>
          <w:color w:val="auto"/>
        </w:rPr>
        <w:t>Letter of Credit Outstandings means, at any time, the aggregate amount</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remaining undrawn under all Letters of Credit plus Reimbursement Obligations then outstanding.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Lien means, with respect to any Person, any interest granted by such Person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any real or personal property, asset or other right owned or being purchased or acquired by such Person which secures payment or performance of any obligation and shall include any mortgage, lien, encumbrance, charge or other security interest of any kind, whether arising by contract, as a matter of law, by judicial process or otherwise.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Loan Documents means this Agreement, the Note, the Master Letter of Credit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Agreement, the Guaranty, the Collateral Documents and all other documents executed in connection therewith.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Loan Party means the Company, each Guarantor and each Subsidiary pledging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Collateral to the Bank.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Loans mean Revolving Loans.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Margin Stock means any "margin stock" as defined in Regulation U.</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Master Letter of Credit Agreement means the Master Letter of Credit</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the date hereof, substantially in the form of Exhibit F.</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Material Adverse Effect means (a) a material adverse change in, or a</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material adverse effect upon, the financial condition, operations, assets, business, properties or prospects of the Company and its Subsidiaries taken as a whole, (b) a material impairment of the ability of the Company or any Loan Party to perform any of its obligations under any Loan Document or (c) a material adverse effect upon any substantial portion of the Collateral under the Collateral Documents or upon the legality, validity, binding effect or enforceability against the Company or any Loan Party of any Loan Document, or upon the validity, enforceability, perfection or priority of the Bank's Lien in any of the Collateral covered by any Collateral Document.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Material Domestic Subsidiary means a Domestic Subsidiary which is a</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Subsidiary" of the Company as defined in Regulation S-X of the SEC.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Material Foreign Subsidiary means a Foreign Subsidiary which is a</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Subsidiary" of the Company as defined in Regulation S-X of the SEC.</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Material Subsidiary means a Subsidiary which is a "Significant Subsidiary"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of the Company as defined in Regulation S-X of the SEC.</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Multiemployer Pension Plan means a multiemployer plan, as defined in</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Section 4001(a)(3) of ERISA, to which the Company or any member of the Controlled Group may have any liability.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56" w:name="page57"/>
    <w:bookmarkEnd w:id="56"/>
    <w:p>
      <w:pPr>
        <w:ind w:left="440"/>
        <w:spacing w:after="0"/>
        <w:rPr>
          <w:sz w:val="20"/>
          <w:szCs w:val="20"/>
          <w:color w:val="auto"/>
        </w:rPr>
      </w:pPr>
      <w:r>
        <w:rPr>
          <w:rFonts w:ascii="Courier New" w:cs="Courier New" w:eastAsia="Courier New" w:hAnsi="Courier New"/>
          <w:sz w:val="15"/>
          <w:szCs w:val="15"/>
          <w:color w:val="auto"/>
        </w:rPr>
        <w:t>Non-Use Fee Rate - see the Pricing Schedule.</w:t>
      </w:r>
    </w:p>
    <w:p>
      <w:pPr>
        <w:ind w:left="440"/>
        <w:spacing w:after="0" w:line="237" w:lineRule="auto"/>
        <w:tabs>
          <w:tab w:leader="none" w:pos="2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 see Section 3.1.</w:t>
      </w:r>
    </w:p>
    <w:p>
      <w:pPr>
        <w:ind w:left="1400" w:hanging="953"/>
        <w:spacing w:after="0" w:line="237" w:lineRule="auto"/>
        <w:tabs>
          <w:tab w:leader="none" w:pos="14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Obligations shall mean the obligations, liabilities and indebtedness of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Company with respect to (i) the principal and interest on Loans, (ii) all obligations with respect to the Letters of Credit, including the Reimbursement Obligations, (iii) all liabilities of the Company to Bank which arise under any Hedging Agreement, and (iv) the payment and performance of all other obligations, liabilities and Indebtedness of the Company to the Bank hereunder, under any of the other Loan Documents or with respect to the Loans.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PBGC means the Pension Benefit Guaranty Corporation and any entity</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succeeding to any or all of its functions under ERISA.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Plan means a "pension plan", as such term is defined in Section</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Person means any natural person, corporation, partnership, trust, limited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liability company, association, governmental authority or unit, or any other entity, whether acting in an individual, fiduciary or other capacity.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Pledge Agreement means each Securities Pledge Agreement between the Company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and the Bank, or any Subsidiary and the Bank, pursuant to which the Company and the Subsidiaries shall pledge to the Bank sixty-five percent (65%) of the capital stock of the each existing or hereafter acquired or organized Material Foreign Subsidiary.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Pricing Schedule - see Schedule 1.</w:t>
      </w:r>
    </w:p>
    <w:p>
      <w:pPr>
        <w:ind w:left="440"/>
        <w:spacing w:after="0" w:line="237" w:lineRule="auto"/>
        <w:tabs>
          <w:tab w:leader="none" w:pos="2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Prime Rate means, for any day, the rate of interest in effect for such day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publicly announced from time to time by Bank as its prime rate (whether or not such rate is actually charged by Bank). Any change in the Prime Rate announced by Bank shall take effect at the opening of business on the day specified in the public announcement of such change.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Prime Rate Loan means any Loan which bears interest at or by reference 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the Prime Rate.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Prime Rate Margin - see the Pricing Schedule.</w:t>
      </w:r>
    </w:p>
    <w:p>
      <w:pPr>
        <w:ind w:left="440"/>
        <w:spacing w:after="0" w:line="237" w:lineRule="auto"/>
        <w:tabs>
          <w:tab w:leader="none" w:pos="2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RCRA - see Section 10.15.</w:t>
      </w:r>
    </w:p>
    <w:p>
      <w:pPr>
        <w:ind w:left="1400" w:hanging="953"/>
        <w:spacing w:after="0" w:line="237" w:lineRule="auto"/>
        <w:tabs>
          <w:tab w:leader="none" w:pos="14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57" w:name="page58"/>
    <w:bookmarkEnd w:id="57"/>
    <w:p>
      <w:pPr>
        <w:ind w:left="440"/>
        <w:spacing w:after="0"/>
        <w:rPr>
          <w:sz w:val="20"/>
          <w:szCs w:val="20"/>
          <w:color w:val="auto"/>
        </w:rPr>
      </w:pPr>
      <w:r>
        <w:rPr>
          <w:rFonts w:ascii="Courier New" w:cs="Courier New" w:eastAsia="Courier New" w:hAnsi="Courier New"/>
          <w:sz w:val="15"/>
          <w:szCs w:val="15"/>
          <w:color w:val="auto"/>
        </w:rPr>
        <w:t>Regulation D means Regulation D of the FRB.</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Regulation U means Regulation U of the FRB.</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Reimbursement Obligation shall mean at any time, the obligation of the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Company with respect to any Letter of Credit to reimburse the Bank for amounts theretofore paid by the Bank pursuant to a drawing under such Letter of Credit.</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Release has the meaning specified in CERCLA and the term "Disposal" (or</w:t>
      </w:r>
    </w:p>
    <w:p>
      <w:pPr>
        <w:ind w:left="440"/>
        <w:spacing w:after="0" w:line="237" w:lineRule="auto"/>
        <w:tabs>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"Disposed") has the meaning specified in RCRA; provided that in the event either</w:t>
      </w:r>
    </w:p>
    <w:p>
      <w:pPr>
        <w:spacing w:after="0" w:line="3" w:lineRule="exact"/>
        <w:rPr>
          <w:sz w:val="20"/>
          <w:szCs w:val="20"/>
          <w:color w:val="auto"/>
        </w:rPr>
      </w:pPr>
    </w:p>
    <w:p>
      <w:pPr>
        <w:ind w:left="100"/>
        <w:spacing w:after="0"/>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CERCLA or RCRA is amended so as to broaden the meaning of any term defined thereby, such broader meaning shall apply as of the effective date of such amendment; and provided, further, that to the extent that the laws of a state</w:t>
      </w:r>
    </w:p>
    <w:p>
      <w:pPr>
        <w:ind w:left="1320"/>
        <w:spacing w:after="0"/>
        <w:tabs>
          <w:tab w:leader="none" w:pos="2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37" w:lineRule="auto"/>
        <w:rPr>
          <w:sz w:val="20"/>
          <w:szCs w:val="20"/>
          <w:color w:val="auto"/>
        </w:rPr>
      </w:pPr>
      <w:r>
        <w:rPr>
          <w:rFonts w:ascii="Courier New" w:cs="Courier New" w:eastAsia="Courier New" w:hAnsi="Courier New"/>
          <w:sz w:val="15"/>
          <w:szCs w:val="15"/>
          <w:color w:val="auto"/>
        </w:rPr>
        <w:t>wherein any affected property lies establish a meaning for "Release" or</w:t>
      </w:r>
    </w:p>
    <w:p>
      <w:pPr>
        <w:ind w:left="5260"/>
        <w:spacing w:after="0" w:line="238"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"Disposal" which is broader than is specified in either CERCLA or RCRA, such</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broader meaning shall apply.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Revolving Commitment Amount means $30,000,000.</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Revolving Loan - see Section 2.1.1.</w:t>
      </w:r>
    </w:p>
    <w:p>
      <w:pPr>
        <w:ind w:left="440"/>
        <w:spacing w:after="0" w:line="237" w:lineRule="auto"/>
        <w:tabs>
          <w:tab w:leader="none" w:pos="2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Revolving Outstandings means, at any time, the sum of the aggregate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principal amount of all outstanding Revolving Loans.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means the United States Securities and Exchange Commission or any other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governmental authority succeeding to any of the principal functions thereof.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Subsidiary means, with respect to any Person, a corporation, partnership,</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limited liability company or other entity of which such Person and/or its other Subsidiaries own, directly or indirectly, such number of outstanding shares or other ownership interests as have more than 50% of the ordinary voting power for the election of directors or other managers of such corporation, partnership, limited liability company or other entity. Unless the context otherwise requires, each reference to Subsidiaries herein shall be a reference to Subsidiaries of the Company.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Suretyship Liability means any agreement, undertaking or arrangement by</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the principal amount of the debt, obligation or other liability supported thereby.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58" w:name="page59"/>
    <w:bookmarkEnd w:id="58"/>
    <w:p>
      <w:pPr>
        <w:ind w:left="440"/>
        <w:spacing w:after="0"/>
        <w:rPr>
          <w:sz w:val="20"/>
          <w:szCs w:val="20"/>
          <w:color w:val="auto"/>
        </w:rPr>
      </w:pPr>
      <w:r>
        <w:rPr>
          <w:rFonts w:ascii="Courier New" w:cs="Courier New" w:eastAsia="Courier New" w:hAnsi="Courier New"/>
          <w:sz w:val="14"/>
          <w:szCs w:val="14"/>
          <w:color w:val="auto"/>
        </w:rPr>
        <w:t>Tangible Net Worth means, with respect to the Company and its Subsidiaries,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consolidated shareholders' equity (including retained earnings) less the book value of all intangible assets, all as determined pursuant to GAAP applied on a basis consistent with the financial statements delivered pursuant to Section</w:t>
      </w:r>
    </w:p>
    <w:p>
      <w:pPr>
        <w:ind w:left="604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11.1.1 and Section 11.1.2.</w:t>
      </w:r>
    </w:p>
    <w:p>
      <w:pPr>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Date means the earlier to occur of (a) the third anniversary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Closing Date, or (b) such other date on which the Commitment terminates pursuant to this Agreement; provided, that, upon written request delivered to</w:t>
      </w:r>
    </w:p>
    <w:p>
      <w:pPr>
        <w:ind w:left="246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Bank no later than sixty (60) days after delivery by the Company to the Bank of the Company's 10-K for any fiscal year, and provided, further that no Event</w:t>
      </w:r>
    </w:p>
    <w:p>
      <w:pPr>
        <w:ind w:left="4120"/>
        <w:spacing w:after="0"/>
        <w:tabs>
          <w:tab w:leader="none" w:pos="4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of Default or Unmatured Event of Default then exists, the Bank, in its sole discretion, may extend the Termination Date for one (1) additional year. The Bank shall provide written notice of its decision to the Company within thirty (30) days of receipt of the Company's request therefor.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Liabilities means, with respect to the Company and its Subsidiaries,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the aggregate amount of liabilities required to be reflected on the balance sheet of the Company and its Subsidiaries, on a consolidated basis after eliminating all intercompany items, determined in accordance with GAAP on a consistent basis less any such amounts constituting Obligations.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UCC means the Uniform Commercial Code as enacted in the State of Florida</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and each other applicable jurisdiction.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Unmatured Event of Default means any event that, if it continues uncured,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will, with lapse of time or notice or both, constitute an Event of Default.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Wholly-Owned Subsidiary means, as to any Person, another Person all of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shares of capital stock or other ownership interests of which (except directors' qualifying shares) are at the time directly or indirectly owned by such Person and/or another Wholly-Owned Subsidiary of such Person.</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Other Interpretive Provisions.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839" w:firstLine="444"/>
        <w:spacing w:after="0" w:line="234" w:lineRule="auto"/>
        <w:tabs>
          <w:tab w:leader="none" w:pos="122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meanings of defined terms are equally applicable to the singular and plural forms of the defined terms.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Schedule and Exhibit references are to this Agreement</w:t>
      </w: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unless otherwise specified.</w:t>
      </w:r>
    </w:p>
    <w:p>
      <w:pPr>
        <w:spacing w:after="0" w:line="173" w:lineRule="exact"/>
        <w:rPr>
          <w:sz w:val="20"/>
          <w:szCs w:val="20"/>
          <w:color w:val="auto"/>
        </w:rPr>
      </w:pPr>
    </w:p>
    <w:p>
      <w:pPr>
        <w:ind w:left="440" w:right="3319" w:firstLine="444"/>
        <w:spacing w:after="0" w:line="234" w:lineRule="auto"/>
        <w:tabs>
          <w:tab w:leader="none" w:pos="122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"including" is not limiting and means "including without limitation."</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59" w:name="page60"/>
    <w:bookmarkEnd w:id="59"/>
    <w:p>
      <w:pPr>
        <w:ind w:left="440" w:right="3319" w:firstLine="619"/>
        <w:spacing w:after="0" w:line="236" w:lineRule="auto"/>
        <w:tabs>
          <w:tab w:leader="none" w:pos="14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(i) references to agreements (including this Agreement), documents and other contractual instruments shall be deemed to include all subsequent amendments, restatements, and other modifications thereto, but only to the extent such amendments, restatements and other modifications are not prohibited by the terms of any Loan Document, and (ii) references to any statute or regulation shall be construed as including all statutory and regulatory provisions amending, replacing, supplementing or interpreting such statute or regulation.</w:t>
      </w:r>
    </w:p>
    <w:p>
      <w:pPr>
        <w:spacing w:after="0" w:line="178" w:lineRule="exact"/>
        <w:rPr>
          <w:rFonts w:ascii="Courier New" w:cs="Courier New" w:eastAsia="Courier New" w:hAnsi="Courier New"/>
          <w:sz w:val="15"/>
          <w:szCs w:val="15"/>
          <w:color w:val="auto"/>
        </w:rPr>
      </w:pPr>
    </w:p>
    <w:p>
      <w:pPr>
        <w:ind w:left="440" w:right="3679" w:firstLine="619"/>
        <w:spacing w:after="0" w:line="256" w:lineRule="auto"/>
        <w:tabs>
          <w:tab w:leader="none" w:pos="140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Loan Documents may use several different limitations, tests or measurements to regulate the same or similar matters. All such limitations, tests and measurements are cumulative and each shall be performed in accordance with its terms.</w:t>
      </w:r>
    </w:p>
    <w:p>
      <w:pPr>
        <w:spacing w:after="0" w:line="164" w:lineRule="exact"/>
        <w:rPr>
          <w:rFonts w:ascii="Courier New" w:cs="Courier New" w:eastAsia="Courier New" w:hAnsi="Courier New"/>
          <w:sz w:val="14"/>
          <w:szCs w:val="14"/>
          <w:color w:val="auto"/>
        </w:rPr>
      </w:pPr>
    </w:p>
    <w:p>
      <w:pPr>
        <w:ind w:left="440" w:right="3239" w:firstLine="619"/>
        <w:spacing w:after="0" w:line="236" w:lineRule="auto"/>
        <w:tabs>
          <w:tab w:leader="none" w:pos="140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other Loan Documents are the result of negotiations among, and have been reviewed by, counsel to the Bank, the Company and the other parties thereto and are the products of all parties. Accordingly, they shall not be construed against the Bank merely because of the Bank's involvement in their preparation.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COMMITMENT OF THE BANK; BORROWING PROCEDURES.</w:t>
      </w:r>
    </w:p>
    <w:p>
      <w:pPr>
        <w:spacing w:after="0" w:line="166"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Commitment. On and subject to the terms and conditions of this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Agreement, the Bank agrees to make loans to the Company and issue letters of credit for the account of the Company as follows:</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Revolving Loan Commitment. The Bank will make loans on a revolving</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("Revolving Loans") from time to time until the Termination Date in such</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aggregate amounts as the Company may request from the Bank; provided that the</w:t>
      </w:r>
    </w:p>
    <w:p>
      <w:pPr>
        <w:ind w:left="52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sum of (x) Revolving Outstandings and (y) the Letter of Credit Outstandings will not at any time exceed the Revolving Commitment Amount.</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Letter of Credit Commitment. The Bank will issue standby and</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documentary letters of credit, in each case containing such terms and conditions as are permitted by this Agreement and the applicable Letter of Credit Application and are reasonably satisfactory to the Bank (each a "Letter of</w:t>
      </w:r>
    </w:p>
    <w:p>
      <w:pPr>
        <w:ind w:left="570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Credit"), at the request of and for the account of the Company and certain of</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its Subsidiaries, from time to time, before the date which is 30 days prior to the Termination Date; provided that (i) the Letter of Credit Outstandings shall</w:t>
      </w:r>
    </w:p>
    <w:p>
      <w:pPr>
        <w:ind w:left="194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 at any time exceed $15,000,000 and (ii) the sum of (x) Revolving Outstandings and (y) Letter of Credit Outstandings will not at any time exceed the Revolving Commitment Amount. At the option of the Company, the Bank will use reasonable efforts to cause Letters of Credit hereunder to be issued by the Bank's affiliate ABN AMRO Bank, N.V.</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Loan Procedures.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60" w:name="page61"/>
    <w:bookmarkEnd w:id="60"/>
    <w:p>
      <w:pPr>
        <w:ind w:left="440"/>
        <w:spacing w:after="0"/>
        <w:tabs>
          <w:tab w:leader="none" w:pos="104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Various Types of Loans. Each Revolving Loan shall be divided into</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tranches which are either a Prime Rate Loan or a Eurodollar Loan (each a "type"</w:t>
      </w:r>
    </w:p>
    <w:p>
      <w:pPr>
        <w:spacing w:after="0" w:line="3"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of Loan), as the Company shall specify in the related notice of borrowing or conversion pursuant to Section 2.2.2 or 2.2.3. Prime Rate Loans and Eurodollar</w:t>
      </w:r>
    </w:p>
    <w:p>
      <w:pPr>
        <w:ind w:left="2020"/>
        <w:spacing w:after="0" w:line="231" w:lineRule="auto"/>
        <w:tabs>
          <w:tab w:leader="none" w:pos="3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may be outstanding at the same time, provided that not more that five (5)</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Eurodollar Loans having different Interest Periods shall be outstanding at any one time. Notwithstanding anything to the contrary herein, no Eurodollar Loan shall be for a period other than one, two, three or six months.</w:t>
      </w:r>
    </w:p>
    <w:p>
      <w:pPr>
        <w:spacing w:after="0" w:line="15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Borrowing Procedures. The Company shall give written notice or</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telephonic notice (followed immediately by written confirmation thereof) to the Bank of each proposed borrowing not later than (a) in the case of a Prime Rate borrowing, 11:00 A.M., Chicago time, on the proposed date of such borrowing, and</w:t>
      </w:r>
    </w:p>
    <w:p>
      <w:pPr>
        <w:spacing w:after="0" w:line="1" w:lineRule="exact"/>
        <w:rPr>
          <w:sz w:val="20"/>
          <w:szCs w:val="20"/>
          <w:color w:val="auto"/>
        </w:rPr>
      </w:pPr>
    </w:p>
    <w:p>
      <w:pPr>
        <w:ind w:right="3239" w:firstLine="10"/>
        <w:spacing w:after="0" w:line="254" w:lineRule="auto"/>
        <w:tabs>
          <w:tab w:leader="none" w:pos="35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Eurodollar borrowing, 11:00 A.M., Chicago time, at least three Business Days prior to the proposed date of such borrowing. Each such notice shall be effective upon receipt by the Bank, shall be irrevocable, and shall specify the date, amount and type of borrowing and, in the case of a Eurodollar borrowing, the initial Interest Period therefor. Promptly upon receipt of such notice, so long as the conditions precedent set forth in Section</w:t>
      </w:r>
    </w:p>
    <w:p>
      <w:pPr>
        <w:spacing w:after="0" w:line="2" w:lineRule="exact"/>
        <w:rPr>
          <w:sz w:val="20"/>
          <w:szCs w:val="20"/>
          <w:color w:val="auto"/>
        </w:rPr>
      </w:pPr>
    </w:p>
    <w:p>
      <w:pPr>
        <w:ind w:left="64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12 with respect to such borrowing have been satisfied, the Bank shall pay over - --</w:t>
      </w:r>
    </w:p>
    <w:p>
      <w:pPr>
        <w:spacing w:after="0" w:line="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the funds to the Company on the requested borrowing date. Each borrowing shall be on a Business Day. Each borrowing shall be in an aggregate principal amount of at least $100,000 or a higher integral multiple of $100,000.</w:t>
      </w:r>
    </w:p>
    <w:p>
      <w:pPr>
        <w:spacing w:after="0" w:line="15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4"/>
          <w:szCs w:val="14"/>
          <w:color w:val="auto"/>
        </w:rPr>
        <w:t>Conversion and Continuation Procedures.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Subject to Section 2.2.1, the Company may, upon irrevocable</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written notice to the Bank in accordance with clause (b) below:</w:t>
      </w:r>
    </w:p>
    <w:p>
      <w:pPr>
        <w:ind w:left="44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140" w:right="3239" w:firstLine="357"/>
        <w:spacing w:after="0" w:line="235" w:lineRule="auto"/>
        <w:tabs>
          <w:tab w:leader="none" w:pos="18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as of any Business Day, to convert any Loans (or any part thereof in an aggregate amount not less than $100,000 or a higher integral multiple of $100,000) into Loans of the other type; or</w:t>
      </w:r>
    </w:p>
    <w:p>
      <w:pPr>
        <w:spacing w:after="0" w:line="175" w:lineRule="exact"/>
        <w:rPr>
          <w:rFonts w:ascii="Courier New" w:cs="Courier New" w:eastAsia="Courier New" w:hAnsi="Courier New"/>
          <w:sz w:val="15"/>
          <w:szCs w:val="15"/>
          <w:color w:val="auto"/>
        </w:rPr>
      </w:pPr>
    </w:p>
    <w:p>
      <w:pPr>
        <w:ind w:left="1140" w:right="3399" w:firstLine="357"/>
        <w:spacing w:after="0" w:line="236" w:lineRule="auto"/>
        <w:tabs>
          <w:tab w:leader="none" w:pos="192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as of the last day of the applicable Interest Period, to continue any Eurodollar Loans having Interest Periods expiring on such day (or any part thereof in an aggregate amount not less than $100,000 or a higher integral multiple of $100,000) for a new Interest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after giving effect to any prepayment, conversion or continuation,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aggregate principal amount of all Eurodollar Loans having the same Interest Period shall be at least $100,000 or an integral multiple of $100,000.</w:t>
      </w:r>
    </w:p>
    <w:p>
      <w:pPr>
        <w:spacing w:after="0" w:line="160" w:lineRule="exact"/>
        <w:rPr>
          <w:sz w:val="20"/>
          <w:szCs w:val="20"/>
          <w:color w:val="auto"/>
        </w:rPr>
      </w:pPr>
    </w:p>
    <w:p>
      <w:pPr>
        <w:ind w:left="440" w:right="3239" w:firstLine="619"/>
        <w:spacing w:after="0" w:line="256" w:lineRule="auto"/>
        <w:tabs>
          <w:tab w:leader="none" w:pos="140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written or telephonic (followed immediately by written confirmation thereof) notice to the Bank of each proposed conversion or continuation not later than (i) in the case of conversion into Prime Rate Loans, 11:00 A.M., Chicago time, on the proposed date of such conversion and (ii) in the case of conversion into or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61" w:name="page62"/>
    <w:bookmarkEnd w:id="61"/>
    <w:p>
      <w:pPr>
        <w:jc w:val="both"/>
        <w:ind w:left="440" w:right="3839"/>
        <w:spacing w:after="0" w:line="235" w:lineRule="auto"/>
        <w:rPr>
          <w:sz w:val="20"/>
          <w:szCs w:val="20"/>
          <w:color w:val="auto"/>
        </w:rPr>
      </w:pPr>
      <w:r>
        <w:rPr>
          <w:rFonts w:ascii="Courier New" w:cs="Courier New" w:eastAsia="Courier New" w:hAnsi="Courier New"/>
          <w:sz w:val="15"/>
          <w:szCs w:val="15"/>
          <w:color w:val="auto"/>
        </w:rPr>
        <w:t>continuation of Eurodollar Loans, 11:00 A.M., Chicago time, at least three Business Days prior to the proposed date of such conversion or continuation, specifying in each case:</w:t>
      </w:r>
    </w:p>
    <w:p>
      <w:pPr>
        <w:spacing w:after="0" w:line="167" w:lineRule="exact"/>
        <w:rPr>
          <w:sz w:val="20"/>
          <w:szCs w:val="20"/>
          <w:color w:val="auto"/>
        </w:rPr>
      </w:pPr>
    </w:p>
    <w:p>
      <w:pPr>
        <w:ind w:left="1840" w:hanging="518"/>
        <w:spacing w:after="0"/>
        <w:tabs>
          <w:tab w:leader="none" w:pos="18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date of conversion or continuation;</w:t>
      </w:r>
    </w:p>
    <w:p>
      <w:pPr>
        <w:spacing w:after="0" w:line="172" w:lineRule="exact"/>
        <w:rPr>
          <w:rFonts w:ascii="Courier New" w:cs="Courier New" w:eastAsia="Courier New" w:hAnsi="Courier New"/>
          <w:sz w:val="15"/>
          <w:szCs w:val="15"/>
          <w:color w:val="auto"/>
        </w:rPr>
      </w:pPr>
    </w:p>
    <w:p>
      <w:pPr>
        <w:ind w:left="1840" w:hanging="518"/>
        <w:spacing w:after="0"/>
        <w:tabs>
          <w:tab w:leader="none" w:pos="184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Loans to be converted or continued;</w:t>
      </w:r>
    </w:p>
    <w:p>
      <w:pPr>
        <w:spacing w:after="0" w:line="177" w:lineRule="exact"/>
        <w:rPr>
          <w:rFonts w:ascii="Courier New" w:cs="Courier New" w:eastAsia="Courier New" w:hAnsi="Courier New"/>
          <w:sz w:val="14"/>
          <w:szCs w:val="14"/>
          <w:color w:val="auto"/>
        </w:rPr>
      </w:pPr>
    </w:p>
    <w:p>
      <w:pPr>
        <w:ind w:left="980" w:right="3239" w:firstLine="342"/>
        <w:spacing w:after="0" w:line="234" w:lineRule="auto"/>
        <w:tabs>
          <w:tab w:leader="none" w:pos="185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type of Loans resulting from the proposed conversion or continuation; and</w:t>
      </w:r>
    </w:p>
    <w:p>
      <w:pPr>
        <w:spacing w:after="0" w:line="173" w:lineRule="exact"/>
        <w:rPr>
          <w:rFonts w:ascii="Courier New" w:cs="Courier New" w:eastAsia="Courier New" w:hAnsi="Courier New"/>
          <w:sz w:val="15"/>
          <w:szCs w:val="15"/>
          <w:color w:val="auto"/>
        </w:rPr>
      </w:pPr>
    </w:p>
    <w:p>
      <w:pPr>
        <w:ind w:left="980" w:right="3759" w:firstLine="342"/>
        <w:spacing w:after="0" w:line="235" w:lineRule="auto"/>
        <w:tabs>
          <w:tab w:leader="none" w:pos="185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conversion into, or continuation of, Eurodollar Loans, the duration of the requested Interest Period therefor.</w:t>
      </w:r>
    </w:p>
    <w:p>
      <w:pPr>
        <w:spacing w:after="0" w:line="173" w:lineRule="exact"/>
        <w:rPr>
          <w:rFonts w:ascii="Courier New" w:cs="Courier New" w:eastAsia="Courier New" w:hAnsi="Courier New"/>
          <w:sz w:val="15"/>
          <w:szCs w:val="15"/>
          <w:color w:val="auto"/>
        </w:rPr>
      </w:pPr>
    </w:p>
    <w:p>
      <w:pPr>
        <w:ind w:left="440" w:right="3499" w:firstLine="532"/>
        <w:spacing w:after="0" w:line="256" w:lineRule="auto"/>
        <w:tabs>
          <w:tab w:leader="none" w:pos="13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the expiration of any Interest Period applicable to Eurodollar Loans, the Company has failed to select timely a new Interest Period to be applicable to such Eurodollar Loans, the Company shall be deemed to have elected to convert such Eurodollar Loans into Prime Rate Loans effective on the last day of such Interest Period.</w:t>
      </w:r>
    </w:p>
    <w:p>
      <w:pPr>
        <w:spacing w:after="0" w:line="163" w:lineRule="exact"/>
        <w:rPr>
          <w:rFonts w:ascii="Courier New" w:cs="Courier New" w:eastAsia="Courier New" w:hAnsi="Courier New"/>
          <w:sz w:val="14"/>
          <w:szCs w:val="14"/>
          <w:color w:val="auto"/>
        </w:rPr>
      </w:pPr>
    </w:p>
    <w:p>
      <w:pPr>
        <w:ind w:left="440" w:right="3319" w:firstLine="532"/>
        <w:spacing w:after="0" w:line="254" w:lineRule="auto"/>
        <w:tabs>
          <w:tab w:leader="none" w:pos="13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conversion of a Eurodollar Loan on a day other than the last day of an Interest Period therefor shall be subject to Section 8.4.</w:t>
      </w:r>
    </w:p>
    <w:p>
      <w:pPr>
        <w:ind w:left="5260"/>
        <w:spacing w:after="0" w:line="231"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Letter of Credit Procedures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2.3.1 Letter of Credit Applications. The Company shall give notice to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Bank of the proposed issuance of each Letter of Credit on a Business Day which is at least two (2) Business Days (or such lesser number of days as the Bank shall agree in any particular instance in its sole discretion) prior to the proposed date of issuance of such Letter of Credit. Each such notice shall be accompanied by a Letter of Credit Application, duly executed by the Company and in all respects satisfactory to the Bank, together with such other documentation as the Bank may request in support thereof, it being understood that each Letter of Credit Application shall specify, among other things, the date on which the proposed Letter of Credit is to be issued, the expiration date of such Letter of Credit (which shall not be later than the earlier to occur of (x) one year after the date of issuance thereof and (y) thirty (30) days prior to the scheduled Termination Date) and whether such Letter of Credit is to be transferable in whole or in part. A Letter of Credit may provide for renewal thereof for additional one-year periods, provided that in no event shall it extend beyond the date referred to in clause (y) above. So long as the Bank has not received</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written notice that the conditions precedent set forth in Section 12 with</w:t>
      </w:r>
    </w:p>
    <w:p>
      <w:pPr>
        <w:ind w:left="50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respect to the issuance of such Letter of Credit have not been satisfied, the Bank shall issue such Letter of Credit on the requested issuance date. In the event of any inconsistency between the terms of any Letter of Credit Application and the terms of this Agreement, the terms of this Agreement shall control.</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2.3.2 Reimbursement Obligations. The Company hereby unconditionally and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irrevocably agrees to reimburse the Bank for each payment or disbursement made by the Bank under any Letter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62" w:name="page63"/>
    <w:bookmarkEnd w:id="62"/>
    <w:p>
      <w:pPr>
        <w:ind w:right="3239"/>
        <w:spacing w:after="0" w:line="254" w:lineRule="auto"/>
        <w:rPr>
          <w:sz w:val="20"/>
          <w:szCs w:val="20"/>
          <w:color w:val="auto"/>
        </w:rPr>
      </w:pPr>
      <w:r>
        <w:rPr>
          <w:rFonts w:ascii="Courier New" w:cs="Courier New" w:eastAsia="Courier New" w:hAnsi="Courier New"/>
          <w:sz w:val="14"/>
          <w:szCs w:val="14"/>
          <w:color w:val="auto"/>
        </w:rPr>
        <w:t>of Credit honoring any demand for payment made by the beneficiary thereunder, in each case on the date that such payment or disbursement is made. Any amount not reimbursed on the date of such payment or disbursement shall bear interest from the date of such payment or disbursement to the date that the Bank is reimbursed by the Company therefor, payable on demand, at a rate per annum equal to the Prime Rate from time to time in effect plus the Prime Rate Margin from time to</w:t>
      </w:r>
    </w:p>
    <w:p>
      <w:pPr>
        <w:ind w:left="34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in effect plus, beginning on the third Business Day after receipt of notice</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from the Bank of such payment or disbursement, two percent (2%). The Bank shall notify the Company whenever any demand for payment is made under any Letter of Credit by the beneficiary thereunder; provided that the failure of the Bank to</w:t>
      </w:r>
    </w:p>
    <w:p>
      <w:pPr>
        <w:ind w:left="334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so notify the Company shall not affect the rights of the Bank in any manner whatsoever.</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Limitation on Obligations of Bank. In determining whether to pay</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any Letter of Credit, the Bank shall not have any obligation to the Company other than to confirm that any documents required to be delivered under such Letter of Credit have been delivered and comply on their face with the requirements of such Letter of Credit. Any action taken or omitted to be taken by the Bank under or in connection with any Letter of Credit, if taken or omitted in the absence of gross negligence and willful misconduct, shall not impose upon the Bank any liability to the Company and shall not reduce or impair the Company's reimbursement obligations set forth in Section 2.3.2.</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Certain Conditions. Notwithstanding any other provision of this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Agreement, the Bank shall not have any obligation to make any Loan, or to permit the continuation of or any conversion into any Eurodollar Loan or issue a Letter of Credit if an Event of Default or Unmatured Event of Default exists.</w:t>
      </w:r>
    </w:p>
    <w:p>
      <w:pPr>
        <w:sectPr>
          <w:pgSz w:w="11900" w:h="16838" w:orient="portrait"/>
          <w:cols w:equalWidth="0" w:num="1">
            <w:col w:w="10239"/>
          </w:cols>
          <w:pgMar w:left="220" w:top="624" w:right="1440" w:bottom="1440" w:gutter="0" w:footer="0" w:header="0"/>
        </w:sectPr>
      </w:pP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EVIDENCING LOANS.</w:t>
      </w:r>
    </w:p>
    <w:p>
      <w:pPr>
        <w:spacing w:after="0" w:line="171" w:lineRule="exact"/>
        <w:rPr>
          <w:sz w:val="20"/>
          <w:szCs w:val="20"/>
          <w:color w:val="auto"/>
        </w:rPr>
      </w:pPr>
    </w:p>
    <w:p>
      <w:pPr>
        <w:sectPr>
          <w:pgSz w:w="11900" w:h="16838" w:orient="portrait"/>
          <w:cols w:equalWidth="0" w:num="2">
            <w:col w:w="1240" w:space="160"/>
            <w:col w:w="8839"/>
          </w:cols>
          <w:pgMar w:left="220" w:top="624" w:right="1440" w:bottom="1440" w:gutter="0" w:footer="0" w:header="0"/>
          <w:type w:val="continuous"/>
        </w:sect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Note. The Loans of the Bank shall be evidenced by a promissory note</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 substantially in the form set forth in Exhibit A, payable to the</w:t>
      </w:r>
    </w:p>
    <w:p>
      <w:pPr>
        <w:spacing w:after="0" w:line="3" w:lineRule="exact"/>
        <w:rPr>
          <w:sz w:val="20"/>
          <w:szCs w:val="20"/>
          <w:color w:val="auto"/>
        </w:rPr>
      </w:pPr>
    </w:p>
    <w:p>
      <w:pPr>
        <w:ind w:left="540"/>
        <w:spacing w:after="0"/>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624" w:right="1440" w:bottom="1440" w:gutter="0" w:footer="0" w:header="0"/>
          <w:type w:val="continuous"/>
        </w:sectPr>
      </w:pP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order of the Bank in a face principal amount equal to the Revolving Commitment Amount. The Note shall be paid in full on the Termination Date.</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Recordkeeping. The Bank shall record in its records, or at its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option on the schedule attached to the Note, the date and amount of each Loan made by the Bank, each repayment or conversion thereof and, in the case of each Eurodollar Loan, the dates on which each Interest Period for such Loan shall begin and end. The aggregate unpaid principal amount so recorded shall be rebuttable presumptive evidence of the principal amount owing and unpaid on the Note. The failure to so record any such amount or any error in so recording any such amount shall not, however, limit or otherwise affect the obligations of the Company hereunder or under the Note to repay the principal amount of the Loans evidenced by the Note together with all interest accruing thereon.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type w:val="continuous"/>
        </w:sectPr>
      </w:pPr>
    </w:p>
    <w:bookmarkStart w:id="63" w:name="page64"/>
    <w:bookmarkEnd w:id="63"/>
    <w:p>
      <w:pPr>
        <w:ind w:left="440"/>
        <w:spacing w:after="0"/>
        <w:tabs>
          <w:tab w:leader="none" w:pos="138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INTEREST.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4.1 Interest Rates. The Company promises to pay interest on the unpaid</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principal amount of each Loan for the period commencing on the date of such Loan until such Loan is paid in full as follows:</w:t>
      </w:r>
    </w:p>
    <w:p>
      <w:pPr>
        <w:spacing w:after="0" w:line="173" w:lineRule="exact"/>
        <w:rPr>
          <w:sz w:val="20"/>
          <w:szCs w:val="20"/>
          <w:color w:val="auto"/>
        </w:rPr>
      </w:pPr>
    </w:p>
    <w:p>
      <w:pPr>
        <w:ind w:left="440" w:right="3399" w:firstLine="357"/>
        <w:spacing w:after="0" w:line="235" w:lineRule="auto"/>
        <w:tabs>
          <w:tab w:leader="none" w:pos="11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while such Loan is a Prime Rate Loan, at a rate per annum equal to the sum of the Prime Rate from time to time in effect plus the Prime Rate Margin from time to time in effect;</w:t>
      </w:r>
    </w:p>
    <w:p>
      <w:pPr>
        <w:spacing w:after="0" w:line="173" w:lineRule="exact"/>
        <w:rPr>
          <w:rFonts w:ascii="Courier New" w:cs="Courier New" w:eastAsia="Courier New" w:hAnsi="Courier New"/>
          <w:sz w:val="15"/>
          <w:szCs w:val="15"/>
          <w:color w:val="auto"/>
        </w:rPr>
      </w:pPr>
    </w:p>
    <w:p>
      <w:pPr>
        <w:ind w:left="440" w:right="3239" w:firstLine="357"/>
        <w:spacing w:after="0" w:line="235" w:lineRule="auto"/>
        <w:tabs>
          <w:tab w:leader="none" w:pos="11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while such Loan is a Eurodollar Loan, at a rate per annum equal to the sum of the Eurodollar Rate (Reserve Adjusted) applicable to each Interest Period for such Loan plus the Eurodollar Margin from time to time in effect; and</w:t>
      </w:r>
    </w:p>
    <w:p>
      <w:pPr>
        <w:spacing w:after="0" w:line="175" w:lineRule="exact"/>
        <w:rPr>
          <w:rFonts w:ascii="Courier New" w:cs="Courier New" w:eastAsia="Courier New" w:hAnsi="Courier New"/>
          <w:sz w:val="15"/>
          <w:szCs w:val="15"/>
          <w:color w:val="auto"/>
        </w:rPr>
      </w:pPr>
    </w:p>
    <w:p>
      <w:pPr>
        <w:ind w:left="440" w:right="3239" w:firstLine="357"/>
        <w:spacing w:after="0" w:line="235" w:lineRule="auto"/>
        <w:tabs>
          <w:tab w:leader="none" w:pos="11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overdue interest, fees and other amounts payable hereunder shall (to the extent permitted by applicable law) accrue interest at a rate equal to the Prime Rate plus two percent (2%). Such interest shall be payable on demand.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at any time an Event of Default exists, the interest rate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applicable to each Loan shall be the Prime Rate plus two percent (2%) payable on demand;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4.2 Interest Payment Dates. Accrued interest on each Prime Rate Loan shall</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 payable in arrears on the last day of each calendar quarter, commencing on the last day of the quarter in which the closing of such Prime Rate Loan takes place and at maturity. Accrued interest on each Eurodollar Loan shall be payable on the last day of each Interest Period relating to such Loan (and, in the case of a Eurodollar Loan with a six-month Interest Period, on the three-month anniversary of the first day of such Interest Period) and at maturity. After maturity, accrued interest on all Loans shall be payable on demand.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4.3 Setting and Notice of Eurodollar Rates. The applicable Eurodollar Rate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each Interest Period shall be determined by the Bank, and notice thereof shall be given by the Bank promptly to the Company. Each determination of the applicable Eurodollar Rate by the Bank shall be conclusive and binding upon the parties hereto, in the absence of demonstrable error. The Bank shall, upon written request of the Company, deliver to the Company a statement showing the computations used by the Bank in determining any applicable Eurodollar Rate hereunder.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4.4 Computation of Interest. Interest shall be computed for the actual</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number of days elapsed on the basis of a year of 360 days. The applicable interest rate for each Prime Rate Loan shall change simultaneously with each change in the Prime Rate.</w:t>
      </w:r>
    </w:p>
    <w:p>
      <w:pPr>
        <w:spacing w:after="0" w:line="167"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FEES.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64" w:name="page65"/>
    <w:bookmarkEnd w:id="64"/>
    <w:p>
      <w:pPr>
        <w:ind w:left="440"/>
        <w:spacing w:after="0"/>
        <w:rPr>
          <w:sz w:val="20"/>
          <w:szCs w:val="20"/>
          <w:color w:val="auto"/>
        </w:rPr>
      </w:pPr>
      <w:r>
        <w:rPr>
          <w:rFonts w:ascii="Courier New" w:cs="Courier New" w:eastAsia="Courier New" w:hAnsi="Courier New"/>
          <w:sz w:val="14"/>
          <w:szCs w:val="14"/>
          <w:color w:val="auto"/>
        </w:rPr>
        <w:t>5.1 Non-Use Fee. The Company agrees to pay to the Bank a non-use fee, for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period from the Closing Date to the Termination Date, at the Non-Use Fee Rate (as set forth in the Pricing Schedule) in effect from time to time on the daily unused amount of the Revolving Commitment Amount. For purposes of calculating usage under this Section, the Revolving Commitment Amount on any day shall be deemed used to the extent of the sum of (x) Revolving Outstandings and</w:t>
      </w:r>
    </w:p>
    <w:p>
      <w:pPr>
        <w:spacing w:after="0" w:line="2" w:lineRule="exact"/>
        <w:rPr>
          <w:sz w:val="20"/>
          <w:szCs w:val="20"/>
          <w:color w:val="auto"/>
        </w:rPr>
      </w:pPr>
    </w:p>
    <w:p>
      <w:pPr>
        <w:ind w:right="3239" w:firstLine="10"/>
        <w:spacing w:after="0" w:line="236" w:lineRule="auto"/>
        <w:tabs>
          <w:tab w:leader="none" w:pos="3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Outstandings at the close of business of the Bank on the next preceding Business Day. Such non-use fee shall be payable in arrears on the last day of each calendar quarter, and on the Termination Date, for any period then ending for which such non-use fee shall not have previously been paid. The non-use fee shall be computed for the actual number of days elapsed on the basis of a year of 360 days.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Letter of Credit Fees.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239" w:firstLine="357"/>
        <w:spacing w:after="0" w:line="254" w:lineRule="auto"/>
        <w:tabs>
          <w:tab w:leader="none" w:pos="11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to the Bank a letter of credit fee for each Letter of Credit equal to the Letter of Credit Fee Rate (as set forth in the Pricing Schedule) in effect from time to time on the undrawn amount of such Letter of Credit (computed for the actual number of days elapsed on the basis of a year of 360 days); provided, that the rate applicable to</w:t>
      </w:r>
    </w:p>
    <w:p>
      <w:pPr>
        <w:ind w:left="34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each Letter of Credit shall be increased by two percent (2%) at any time an Event of Default exists until such time as Borrower has complied with its obligations to provide to Bank cash collateral pursuant to Section 13.2.</w:t>
      </w:r>
    </w:p>
    <w:p>
      <w:pPr>
        <w:ind w:left="560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Such letter of credit fee shall be payable in arrears on the last day of each calendar quarter and on the Termination Date, for the period from the date of issuance of each Letter of Credit (or the last day on which such letter of credit fee was paid with respect thereto) to the date such payment is due or, if earlier, the date on which such Letter of Credit expired or is terminated.</w:t>
      </w:r>
    </w:p>
    <w:p>
      <w:pPr>
        <w:spacing w:after="0" w:line="175" w:lineRule="exact"/>
        <w:rPr>
          <w:sz w:val="20"/>
          <w:szCs w:val="20"/>
          <w:color w:val="auto"/>
        </w:rPr>
      </w:pPr>
    </w:p>
    <w:p>
      <w:pPr>
        <w:ind w:left="440" w:right="3239" w:firstLine="357"/>
        <w:spacing w:after="0" w:line="235" w:lineRule="auto"/>
        <w:tabs>
          <w:tab w:leader="none" w:pos="11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with respect to each Letter of Credit, the Company agrees to pay the Bank such fees and expenses the Bank customarily requires in connection with the negotiation, processing, amending and/or administration of letters of credit in similar situations.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5.3 Facility Fee. The Company agrees to pay to the Bank a facility fee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$75,000, of which one-half has been paid and the balance of which will be paid on the Closing Date.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PREPAYMENTS.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 Voluntary Prepayments. The Company may from time to time prepay the</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in whole or in part; provided that the Company shall give the Bank notice</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thereof not later than 11:00 A.M., Chicago time, on the day of such prepayment (which shall be a Business Day), specifying the Loans to be prepaid and the date and amount of prepayment.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6.2 All Prepayments. Each voluntary partial prepayment shall be in a</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principal amount of $100,000 or a higher integral multiple of $100,000. Any partial prepayment of Eurodollar Loans shall be subject to the proviso to Section 2.2.3(a). Any prepayment of a Eurodollar Loan on a day</w:t>
      </w:r>
    </w:p>
    <w:p>
      <w:pPr>
        <w:spacing w:after="0" w:line="232"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65" w:name="page66"/>
    <w:bookmarkEnd w:id="65"/>
    <w:p>
      <w:pPr>
        <w:ind w:right="3239"/>
        <w:spacing w:after="0" w:line="234" w:lineRule="auto"/>
        <w:rPr>
          <w:sz w:val="20"/>
          <w:szCs w:val="20"/>
          <w:color w:val="auto"/>
        </w:rPr>
      </w:pPr>
      <w:r>
        <w:rPr>
          <w:rFonts w:ascii="Courier New" w:cs="Courier New" w:eastAsia="Courier New" w:hAnsi="Courier New"/>
          <w:sz w:val="15"/>
          <w:szCs w:val="15"/>
          <w:color w:val="auto"/>
        </w:rPr>
        <w:t>other than the last day of an Interest Period therefor shall include interest on the principal amount being repaid and shall be subject to Section 8.4.</w:t>
      </w:r>
    </w:p>
    <w:p>
      <w:pPr>
        <w:ind w:left="5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MAKING AND PRORATION OF PAYMENTS; SETOFF; TAXES.</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Making of Payments. All payments of principal of or interest on the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Notes, and of all fees, shall be made by the Company to the Bank in immediately available funds at the office specified by the Bank not later than noon, Chicago time, on the date due; and funds received after that hour shall be deemed to have been received by the Bank on the following Business Day.</w:t>
      </w:r>
    </w:p>
    <w:p>
      <w:pPr>
        <w:spacing w:after="0" w:line="15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Application of Certain Payments. Each payment of principal shall be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applied to such Loans as the Company shall direct by notice to be received by the Bank on or before the date of such payment or, in the absence of such notice, as the Bank shall determine in its discretion.</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Due Date Extension. If any payment of principal or interest with</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respect to any of the Loans, or of any fees, falls due on a day which is not a Business Day, then such due date shall be extended to the immediately following Business Day (unless, in the case of a Eurodollar Loan, such immediately following Business Day is the first Business Day of a calendar month, in which case such due date shall be the immediately preceding Business Day) and, in the case of principal, additional interest shall accrue and be payable for the period of any such extension.</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Setoff. The Company agrees that the Bank has all rights of set-off and</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bankers' lien provided by applicable law, and in addition thereto, the Company agrees that at any time any Event of Default exists, the Bank may apply to the payment of any Obligations, whether or not then due, any and all balances, credits, deposits, accounts or moneys of the Company then or thereafter with the Bank.</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Taxes. All payments of principal of, and interest on, the Loans and</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all other amounts payable hereunder shall be made free and clear of and without deduction for any present or future income, excise, stamp or franchise taxes and other taxes, fees, duties, withholdings or other charges of any nature whatsoever imposed by any taxing authority, excluding franchise taxes and taxes imposed on or measured by Bank's net income or receipts (all non-excluded items being called "Taxes"). If any withholding or deduction from any payment to be</w:t>
      </w:r>
    </w:p>
    <w:p>
      <w:pPr>
        <w:ind w:left="124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made by the Company hereunder is required in respect of any Taxes pursuant to any applicable law, rule or regulation, then the Company will:</w:t>
      </w:r>
    </w:p>
    <w:p>
      <w:pPr>
        <w:spacing w:after="0" w:line="173" w:lineRule="exact"/>
        <w:rPr>
          <w:sz w:val="20"/>
          <w:szCs w:val="20"/>
          <w:color w:val="auto"/>
        </w:rPr>
      </w:pPr>
    </w:p>
    <w:p>
      <w:pPr>
        <w:ind w:left="440" w:right="3239" w:firstLine="444"/>
        <w:spacing w:after="0" w:line="234" w:lineRule="auto"/>
        <w:tabs>
          <w:tab w:leader="none" w:pos="12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directly to the relevant authority the full amount required to be so withheld or deducted;</w:t>
      </w:r>
    </w:p>
    <w:p>
      <w:pPr>
        <w:spacing w:after="0" w:line="173" w:lineRule="exact"/>
        <w:rPr>
          <w:rFonts w:ascii="Courier New" w:cs="Courier New" w:eastAsia="Courier New" w:hAnsi="Courier New"/>
          <w:sz w:val="15"/>
          <w:szCs w:val="15"/>
          <w:color w:val="auto"/>
        </w:rPr>
      </w:pPr>
    </w:p>
    <w:p>
      <w:pPr>
        <w:ind w:left="440" w:right="3679" w:firstLine="444"/>
        <w:spacing w:after="0" w:line="235" w:lineRule="auto"/>
        <w:tabs>
          <w:tab w:leader="none" w:pos="12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forward to the Bank an official receipt or other documentation satisfactory to the Bank evidencing such payment to such authority;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66" w:name="page67"/>
    <w:bookmarkEnd w:id="66"/>
    <w:p>
      <w:pPr>
        <w:ind w:left="440" w:right="3319" w:firstLine="357"/>
        <w:spacing w:after="0" w:line="235" w:lineRule="auto"/>
        <w:tabs>
          <w:tab w:leader="none" w:pos="131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to the Bank such additional amount as is necessary to ensure that the net amount actually received by Bank will equal the full amount Bank would have received had no such withholding or deduction been required.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Moreover, if any Taxes are directly asserted against the Bank with respect to any payment received by the Bank hereunder, the Bank may pay such Taxes and the Company will promptly pay such additional amounts (including any penalty, interest or expense) as is necessary in order that the net amount received by such Person after the payment of such Taxes (including any Taxes on such additional amount) shall equal the amount such Person would have received had such Taxes not been asserted.</w:t>
      </w:r>
    </w:p>
    <w:p>
      <w:pPr>
        <w:spacing w:after="0" w:line="17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If the Company fails to pay any Taxes when due to the appropriate taxing authority or fails to remit to the Bank the required receipts or other required documentary evidence, the Company shall indemnify the Bank for any incremental Taxes, interest or penalties that may become payable by Bank as a result of any such failure. For purposes of this Section 7.5, a distribution hereunder by the</w:t>
      </w:r>
    </w:p>
    <w:p>
      <w:pPr>
        <w:ind w:left="308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to or for the account of the Bank shall be deemed a payment by the Company.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 INCREASED COSTS; SPECIAL PROVISIONS FOR EURODOLLAR LOANS.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8.1 Increased Costs. (a) If, after the date hereof, the adoption of, or any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change in, any applicable law, rule or regulation, or any change in the interpretation or administration of any applicable law, rule or regulation by any governmental authority, central bank or comparable agency charged with the interpretation or administration thereof, or compliance by the Bank (or any Eurodollar Office of the Bank) with any request or directive (whether or not having the force of law) of any such authority, central bank or comparable agency:</w:t>
      </w:r>
    </w:p>
    <w:p>
      <w:pPr>
        <w:spacing w:after="0" w:line="176" w:lineRule="exact"/>
        <w:rPr>
          <w:sz w:val="20"/>
          <w:szCs w:val="20"/>
          <w:color w:val="auto"/>
        </w:rPr>
      </w:pPr>
    </w:p>
    <w:p>
      <w:pPr>
        <w:ind w:left="440" w:right="3239" w:firstLine="357"/>
        <w:spacing w:after="0" w:line="255" w:lineRule="auto"/>
        <w:tabs>
          <w:tab w:leader="none" w:pos="13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subject the Bank (or any Eurodollar Office of the Bank) to any tax, duty or other charge with respect to its Eurodollar Loans, its Note or its obligation to make Eurodollar Loans, or shall change the basis of taxation of payments to the Bank of the principal of or interest on its Eurodollar Loans or any other amounts due under this Agreement in respect of its Eurodollar Loans or its obligation to make Eurodollar Loans (except for changes in the rate of tax on the overall net income of the Bank or its Eurodollar Office imposed by the jurisdiction in which the Bank's principal executive office or Eurodollar Office is located);</w:t>
      </w:r>
    </w:p>
    <w:p>
      <w:pPr>
        <w:spacing w:after="0" w:line="165" w:lineRule="exact"/>
        <w:rPr>
          <w:rFonts w:ascii="Courier New" w:cs="Courier New" w:eastAsia="Courier New" w:hAnsi="Courier New"/>
          <w:sz w:val="14"/>
          <w:szCs w:val="14"/>
          <w:color w:val="auto"/>
        </w:rPr>
      </w:pPr>
    </w:p>
    <w:p>
      <w:pPr>
        <w:ind w:left="440" w:right="3319" w:firstLine="357"/>
        <w:spacing w:after="0" w:line="235" w:lineRule="auto"/>
        <w:tabs>
          <w:tab w:leader="none" w:pos="131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 reserve (including any reserve imposed by the FRB), special deposit or similar requirement against assets of, deposits with or for the account of, or credit extended by the Bank (or any Eurodollar Office of the Bank); or</w:t>
      </w:r>
    </w:p>
    <w:p>
      <w:pPr>
        <w:spacing w:after="0" w:line="175" w:lineRule="exact"/>
        <w:rPr>
          <w:rFonts w:ascii="Courier New" w:cs="Courier New" w:eastAsia="Courier New" w:hAnsi="Courier New"/>
          <w:sz w:val="15"/>
          <w:szCs w:val="15"/>
          <w:color w:val="auto"/>
        </w:rPr>
      </w:pPr>
    </w:p>
    <w:p>
      <w:pPr>
        <w:jc w:val="both"/>
        <w:ind w:left="440" w:right="3579" w:firstLine="357"/>
        <w:spacing w:after="0" w:line="235" w:lineRule="auto"/>
        <w:tabs>
          <w:tab w:leader="none" w:pos="131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the Bank (or its Eurodollar Office) any other condition affecting its Eurodollar Loans, its Note or its obligation to make Eurodollar Loans;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67" w:name="page68"/>
    <w:bookmarkEnd w:id="67"/>
    <w:p>
      <w:pPr>
        <w:ind w:left="440" w:right="3319" w:firstLine="437"/>
        <w:spacing w:after="0" w:line="255" w:lineRule="auto"/>
        <w:rPr>
          <w:sz w:val="20"/>
          <w:szCs w:val="20"/>
          <w:color w:val="auto"/>
        </w:rPr>
      </w:pPr>
      <w:r>
        <w:rPr>
          <w:rFonts w:ascii="Courier New" w:cs="Courier New" w:eastAsia="Courier New" w:hAnsi="Courier New"/>
          <w:sz w:val="14"/>
          <w:szCs w:val="14"/>
          <w:color w:val="auto"/>
        </w:rPr>
        <w:t>and the result of any of the foregoing is to increase the cost to (or to impose a cost on) the Bank (or any Eurodollar Office of the Bank) of making or maintaining any Eurodollar Loan, or to reduce the amount of any sum received or receivable by the Bank (or its Eurodollar Office) under this Agreement or under its Note with respect thereto, then upon demand by the Bank (which demand shall be accompanied by a statement setting forth the basis for such demand and a calculation of the amount thereof in reasonable detail, a copy of which shall be furnished to the Bank), the Company shall pay directly to the Bank such additional amount as will compensate the Bank for such increased cost or such reduction.</w:t>
      </w:r>
    </w:p>
    <w:p>
      <w:pPr>
        <w:spacing w:after="0" w:line="165" w:lineRule="exact"/>
        <w:rPr>
          <w:sz w:val="20"/>
          <w:szCs w:val="20"/>
          <w:color w:val="auto"/>
        </w:rPr>
      </w:pPr>
    </w:p>
    <w:p>
      <w:pPr>
        <w:ind w:left="440" w:right="3239" w:firstLine="444"/>
        <w:spacing w:after="0" w:line="254" w:lineRule="auto"/>
        <w:tabs>
          <w:tab w:leader="none" w:pos="122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 shall reasonably determine that any change in, or the adoption or phase-in of, any applicable law, rule or regulation regarding capital adequacy, or any change in the interpretation or administration thereof by any governmental authority, central bank or comparable agency charged with the interpretation or administration thereof, or compliance by the Bank or any Person controlling the Bank with any request or directive regarding capital adequacy (whether or not having the force of law) of any such authority, central bank or comparable agency, has or would have the effect of reducing the rate of return on the Bank's or such controlling Person's capital as a consequence of the Bank's obligations hereunder to a level below that which the Bank or such controlling Person could have achieved but for such change, adoption, phase-in or compliance (taking into consideration the Bank's or such controlling Person's policies with respect to capital adequacy) by an amount deemed by the Bank or such controlling Person to be material, then from time to time, upon demand by the Bank (which demand shall be accompanied by a statement setting forth the basis for such demand and a calculation of the amount thereof in reasonable detail), the Company shall pay to the Bank such additional amount as will compensate the Bank or such controlling Person for such reduction.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8.2 Basis for Determining Interest Rate Inadequate or Unfair. If with</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respect to any Interest Period:</w:t>
      </w:r>
    </w:p>
    <w:p>
      <w:pPr>
        <w:spacing w:after="0" w:line="341" w:lineRule="exact"/>
        <w:rPr>
          <w:sz w:val="20"/>
          <w:szCs w:val="20"/>
          <w:color w:val="auto"/>
        </w:rPr>
      </w:pPr>
    </w:p>
    <w:p>
      <w:pPr>
        <w:ind w:left="440" w:right="3499" w:firstLine="444"/>
        <w:spacing w:after="0" w:line="236" w:lineRule="auto"/>
        <w:tabs>
          <w:tab w:leader="none" w:pos="122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in Dollars (in the applicable amounts) are not being offered to the Bank in the interbank eurodollar market for such Interest Period, or the Bank otherwise reasonably determines (which determination shall be binding and conclusive on the Company) that by reason of circumstances affecting the interbank eurodollar market adequate and reasonable means do not exist for ascertaining the applicable Eurodollar Rate; or</w:t>
      </w:r>
    </w:p>
    <w:p>
      <w:pPr>
        <w:spacing w:after="0" w:line="175" w:lineRule="exact"/>
        <w:rPr>
          <w:rFonts w:ascii="Courier New" w:cs="Courier New" w:eastAsia="Courier New" w:hAnsi="Courier New"/>
          <w:sz w:val="15"/>
          <w:szCs w:val="15"/>
          <w:color w:val="auto"/>
        </w:rPr>
      </w:pPr>
    </w:p>
    <w:p>
      <w:pPr>
        <w:ind w:left="440" w:right="3319" w:firstLine="444"/>
        <w:spacing w:after="0" w:line="254" w:lineRule="auto"/>
        <w:tabs>
          <w:tab w:leader="none" w:pos="122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advises the Company that the Eurodollar Rate (Reserve Adjusted) as determined by the Bank will not adequately and fairly reflect the cost to the Bank of maintaining or funding Eurodollar Loans for such Interest Period (taking into account any amount to which the Bank may be entitled under Section 8.1) or that the making or funding of Eurodollar</w:t>
      </w:r>
    </w:p>
    <w:p>
      <w:pPr>
        <w:ind w:left="176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Loans has become impracticable as a result of an event occurring after the date of this Agreement which in the opinion of the Bank materially affects such Loans;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then and, so long as such circumstances shall continue, (i) the Bank shall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be under any obligation to make or convert into Eurodollar Loans and (ii) on the last day of the current Interest Period for each Eurodollar Loan, such Loan shall, unless then repaid in full, automatically convert to a Prime Rate Loan.</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8.3 Changes in Law Rendering Eurodollar Loans Unlawful. If any change</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or the adoption of any new, law, rule or regulation, or any change in the interpretation of any applicable law, rule or regulation by any governmental or other regulatory body charged with the administration thereof, should make it (or in the good faith judgment of the Bank cause a substantial question as to whether it is) unlawful for the Bank to make, maintain or fund Eurodollar Loans, then the Bank shall promptly notify each of the other parties hereto and, so long as such circumstances shall continue, (a) the Bank shall have no obligation to make or convert into Eurodollar Loans (but shall make Prime Rate Loans concurrently with the making of or conversion into Eurodollar Loans by the Bank which are not so affected, in each case in an amount equal to the amount of Eurodollar Loans which would be made or converted into by the Bank at such time in the absence of such circumstances) and (b) on the last day of the current Interest Period for each Eurodollar Loan of the Bank (or, in any event, on such earlier date as may be required by the relevant law, regulation or interpretation), such Eurodollar Loan shall, unless then repaid in full, automatically convert to a Prime Rate Loan. Each Prime Rate Loan made by the Bank which, but for the circumstances described in the foregoing sentence, would be a Eurodollar Loan (an "Affected Loan") shall remain outstanding for the same</w:t>
      </w:r>
    </w:p>
    <w:p>
      <w:pPr>
        <w:ind w:left="2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period as the Eurodollar Loans of which such Affected Loan would be a part absent such circumstances.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8.4 Funding Losses. The Company hereby agrees that upon demand by the</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Bank (which demand shall be accompanied by a statement setting forth the basis for the amount being claimed, the Company will indemnify the Bank against any net loss or expense which the Bank may sustain or incur (including any net loss or expense incurred by reason of the liquidation or reemployment of deposits or other funds acquired by the Bank to fund or maintain any Eurodollar Loan), as reasonably determined by the Bank, as a result of (a) any payment, prepayment or conversion of any Eurodollar Loan of the Bank on a date other than the last day of an Interest Period for such Loan (including any conversion pursuant to Section 8.3) or (b) any failure of the Company to borrow, prepay, convert or</w:t>
      </w:r>
    </w:p>
    <w:p>
      <w:pPr>
        <w:spacing w:after="0" w:line="235"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continue any Loan on a date specified therefor in a notice of borrowing, prepayment, conversion or continuation pursuant to this Agreement.</w:t>
      </w:r>
    </w:p>
    <w:p>
      <w:pPr>
        <w:spacing w:after="0" w:line="15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8.5 Right of Bank to Fund through Other Offices. The Bank may, if it so</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elects, fulfill its commitment as to any Eurodollar Loan by causing a foreign branch or Affiliate of the Bank to make such Loan; provided that in such event</w:t>
      </w:r>
    </w:p>
    <w:p>
      <w:pPr>
        <w:ind w:left="448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the purposes of this Agreement such Loan shall be deemed to have been made by the Bank and the obligation of the Company to repay such Loan shall nevertheless be to the Bank and shall be deemed held by it, to the extent of such Loan, for the account of such branch or Affiliate.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69" w:name="page70"/>
    <w:bookmarkEnd w:id="69"/>
    <w:p>
      <w:pPr>
        <w:ind w:left="800"/>
        <w:spacing w:after="0"/>
        <w:rPr>
          <w:sz w:val="20"/>
          <w:szCs w:val="20"/>
          <w:color w:val="auto"/>
        </w:rPr>
      </w:pPr>
      <w:r>
        <w:rPr>
          <w:rFonts w:ascii="Courier New" w:cs="Courier New" w:eastAsia="Courier New" w:hAnsi="Courier New"/>
          <w:sz w:val="15"/>
          <w:szCs w:val="15"/>
          <w:color w:val="auto"/>
        </w:rPr>
        <w:t>8.6 Discretion of Bank as to Manner of Funding. Notwithstanding any</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provision of this Agreement to the contrary, the Bank shall be entitled to fund and maintain its funding of all or any part of its Loans in any manner it sees fit, it being understood, however, that for the purposes of this Agreement all determinations hereunder shall be made as if the Bank had actually funded and maintained each Eurodollar Loan during each Interest Period for such Loan through the purchase of deposits having a maturity corresponding to such Interest Period and bearing an interest rate equal to the Eurodollar Rate for such Interest Period.</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8.7 Mitigation of Circumstances. (a) The Bank shall promptly notify the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Company of any event of which it has knowledge which will result in, and will use reasonable commercial efforts available to it (and not, in the Bank's sole judgment, otherwise disadvantageous to the Bank) to mitigate or avoid, (i) any obligation by the Company to pay any amount pursuant to Section 7.5 or 8.1 or</w:t>
      </w:r>
    </w:p>
    <w:p>
      <w:pPr>
        <w:ind w:left="4900"/>
        <w:spacing w:after="0" w:line="232" w:lineRule="auto"/>
        <w:tabs>
          <w:tab w:leader="none" w:pos="6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 the occurrence of any circumstances described in Section 8.2 or 8.3 (and,</w:t>
      </w:r>
    </w:p>
    <w:p>
      <w:pPr>
        <w:spacing w:after="0" w:line="3" w:lineRule="exact"/>
        <w:rPr>
          <w:sz w:val="20"/>
          <w:szCs w:val="20"/>
          <w:color w:val="auto"/>
        </w:rPr>
      </w:pPr>
    </w:p>
    <w:p>
      <w:pPr>
        <w:ind w:left="4740"/>
        <w:spacing w:after="0"/>
        <w:tabs>
          <w:tab w:leader="none" w:pos="6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the Bank has given notice of any such event described in clause (i) or (ii)</w:t>
      </w:r>
    </w:p>
    <w:p>
      <w:pPr>
        <w:spacing w:after="0" w:line="3" w:lineRule="exact"/>
        <w:rPr>
          <w:sz w:val="20"/>
          <w:szCs w:val="20"/>
          <w:color w:val="auto"/>
        </w:rPr>
      </w:pPr>
    </w:p>
    <w:p>
      <w:pPr>
        <w:ind w:left="5260"/>
        <w:spacing w:after="0"/>
        <w:tabs>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above and thereafter such event ceases to exist, the Bank shall promptly so notify the Company). Without limiting the foregoing, the Bank will designate a different funding office if such designation will avoid (or reduce the cost to the Company of) any event described in clause (i) or (ii) of the preceding</w:t>
      </w:r>
    </w:p>
    <w:p>
      <w:pPr>
        <w:ind w:left="3420"/>
        <w:spacing w:after="0" w:line="232" w:lineRule="auto"/>
        <w:tabs>
          <w:tab w:leader="none" w:pos="4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sentence and such designation will not, in the Bank's sole judgment, be otherwise disadvantageous to the Bank.</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8.8 Conclusiveness of Statements; Survival of Provisions.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Determinations and statements of the Bank pursuant to Section 8.1, 8.2, 8.3 or</w:t>
      </w:r>
    </w:p>
    <w:p>
      <w:pPr>
        <w:spacing w:after="0" w:line="3" w:lineRule="exact"/>
        <w:rPr>
          <w:sz w:val="20"/>
          <w:szCs w:val="20"/>
          <w:color w:val="auto"/>
        </w:rPr>
      </w:pPr>
    </w:p>
    <w:p>
      <w:pPr>
        <w:ind w:left="4740"/>
        <w:spacing w:after="0"/>
        <w:tabs>
          <w:tab w:leader="none" w:pos="5840" w:val="left"/>
          <w:tab w:leader="none" w:pos="62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 shall be conclusive absent demonstrable error. The Bank may use reasonable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averaging and attribution methods in determining compensation under Sections 8.1</w:t>
      </w:r>
    </w:p>
    <w:p>
      <w:pPr>
        <w:spacing w:after="0" w:line="10"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8.4, and the provisions of such Sections shall survive repayment of the</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Loans, cancellation of the Note, and termination of this Agreement.</w:t>
      </w:r>
    </w:p>
    <w:p>
      <w:pPr>
        <w:spacing w:after="0" w:line="167"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SECURITY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9.1 Security. As security for the full and timely payment and</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performance of all Obligations, the Company shall, and shall cause all other Loan Parties to, on or before the Closing Date, do or cause to be done all things necessary in the opinion of the Bank and its counsel to grant to the Bank a duly perfected first priority security interest in all Collateral subject to no prior Lien or other encumbrance or restriction on transfer (other than restrictions on transfer imposed by applicable securities laws). Without limiting the foregoing, the Company shall on the Closing Date deliver to the Bank, in the form and substance reasonably acceptable to the Bank, (a) Pledge Agreements pursuant to which the Company and certain of its Subsidiaries shall pledge to the Bank sixty-five percent (65%) of the capital stock of each existing, and each hereafter organized or acquired, Material Foreign Subsidiary,</w:t>
      </w:r>
    </w:p>
    <w:p>
      <w:pPr>
        <w:spacing w:after="0" w:line="4" w:lineRule="exact"/>
        <w:rPr>
          <w:sz w:val="20"/>
          <w:szCs w:val="20"/>
          <w:color w:val="auto"/>
        </w:rPr>
      </w:pPr>
    </w:p>
    <w:p>
      <w:pPr>
        <w:ind w:right="3239" w:firstLine="10"/>
        <w:spacing w:after="0" w:line="254" w:lineRule="auto"/>
        <w:tabs>
          <w:tab w:leader="none" w:pos="3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securities are in the form of certificated securities, such certificated securities, together with undated stock powers or other appropriate transfer documents endorsed in blank pertaining thereto, and (c) if such securities do not constitute certificated securities, the Company shall take such further action and deliver or cause to be delivered such further documents as required to effect the transactions contemplated by this Section 9.1.</w:t>
      </w:r>
    </w:p>
    <w:p>
      <w:pPr>
        <w:ind w:left="5260"/>
        <w:spacing w:after="0" w:line="233"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70" w:name="page71"/>
    <w:bookmarkEnd w:id="70"/>
    <w:p>
      <w:pPr>
        <w:ind w:left="440"/>
        <w:spacing w:after="0"/>
        <w:tabs>
          <w:tab w:leader="none" w:pos="8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Further Assurances. At the request of the Bank, the Company will or</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will cause all other Loan Parties, as the case may be to execute, by its duly authorized officers, alone or with the Bank, any certificate, instrument, financing statement, control agreement, statement or document, or to procure any such certificate, instrument, statement or document, or to take such other action (and pay all connected costs) which the Bank reasonably deems necessary from time to time to create, continue or preserve the liens and security interests (and the perfection and priority thereof) in the Collateral (as defined in the Collateral Documents) including all Collateral acquired by the Company or other Loan Party after the Closing Date. The Bank is hereby irrevocably authorized to execute and file or cause to be filed, with or if permitted by applicable law without the signatures of the Company or other Loan Party, as applicable, Uniform Commercial Code financing statements reflecting the Company or any other Loan Party as "debtor" and the Bank as "secured party", and continuations thereof and amendments thereto, as the Bank reasonably deems necessary or advisable to give effect to the transactions contemplated hereby and by the other Loan Documents.</w:t>
      </w:r>
    </w:p>
    <w:p>
      <w:pPr>
        <w:spacing w:after="0" w:line="168"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WARRANTIES.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To induce the Bank to enter into this Agreement and to induce the Bank to make Loans hereunder, the Company warrants to the Bank that: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 Organization. The Company is a corporation validly existing and in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good standing under the laws of the State of Florida; each Subsidiary is validly existing and in good standing under the laws of the jurisdiction of its organization; and each of the Company and each Subsidiary is duly qualified to do business in each jurisdiction where, because of the nature of its activities or properties, such qualification is required, except for such jurisdictions where the failure to so qualify would not have a Material Adverse Effect.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10.2 Authorization; No Conflict. Each of the Company and each other Loan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Party is duly authorized to execute and deliver each Loan Document to which it is a party, the Company is duly authorized to borrow monies hereunder and each of the Company and each other Loan Party is duly authorized to perform its obligations under each Loan Document to which it is a party. The execution, delivery and performance by the Company of this Agreement and by each of the Company and each other Loan Party of each Loan Document to which it is a party, and the borrowings by the Company hereunder, do not and will not (a) require any consent or approval of any governmental agency or authority (other than any consent or approval which has been obtained and is in full force and effect),</w:t>
      </w:r>
    </w:p>
    <w:p>
      <w:pPr>
        <w:spacing w:after="0" w:line="3" w:lineRule="exact"/>
        <w:rPr>
          <w:sz w:val="20"/>
          <w:szCs w:val="20"/>
          <w:color w:val="auto"/>
        </w:rPr>
      </w:pPr>
    </w:p>
    <w:p>
      <w:pPr>
        <w:ind w:right="3319" w:firstLine="10"/>
        <w:spacing w:after="0" w:line="236"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(i) any provision of law, (ii) the charter, by-laws or other organizational documents of the Company or any other Loan Party or (iii) any agreement, indenture, instrument or other document, or any judgment, order or decree, which is binding upon the Company or any other Loan Party or any of their respective properties or (c) require, or result in, the creation or imposition of any Lien on any asset of the Company, any Subsidiary or any other Loan Party (other than Liens in favor of the Bank created pursuant to the Collateral Documents).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71" w:name="page72"/>
    <w:bookmarkEnd w:id="71"/>
    <w:p>
      <w:pPr>
        <w:ind w:left="440"/>
        <w:spacing w:after="0"/>
        <w:rPr>
          <w:sz w:val="20"/>
          <w:szCs w:val="20"/>
          <w:color w:val="auto"/>
        </w:rPr>
      </w:pPr>
      <w:r>
        <w:rPr>
          <w:rFonts w:ascii="Courier New" w:cs="Courier New" w:eastAsia="Courier New" w:hAnsi="Courier New"/>
          <w:sz w:val="15"/>
          <w:szCs w:val="15"/>
          <w:color w:val="auto"/>
        </w:rPr>
        <w:t>10.3 Validity and Binding Nature. Each of this Agreement and each other</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Loan Document to which the Company or any other Loan Party is a party is the legal, valid and binding obligation of such Loan Party, enforceable against such Loan Party in accordance with its terms, subject to bankruptcy, insolvency and similar laws affecting the enforceability of creditors' rights generally and to general principles of equity.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10.4 Financial Condition. The audited consolidated financial statements of</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Subsidiaries as at March 31, 2001, copies of each of which have been delivered to Bank, were prepared in accordance with GAAP and present fairly the consolidated financial condition of the Company and its Subsidiaries as at such date and the results of their operations and cash flows for the period then ended.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10.5 No Material Adverse Change. Since March 31, 2001 there has been no</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material adverse change in the financial condition, operations, assets, business, properties or prospects of the Company and its Subsidiaries taken as a whole.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10.6 Litigation and Contingent Liabilities. No litigation (including</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derivative actions), arbitration proceeding or governmental investigation or proceeding is pending or, to the Company's knowledge, threatened against the Company or any Subsidiary which might reasonably be expected to have a Material Adverse Effect, except as set forth in Schedule 10.6. Other than any liability</w:t>
      </w:r>
    </w:p>
    <w:p>
      <w:pPr>
        <w:ind w:left="342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incident to such litigation or proceedings, neither the Company nor any Subsidiary has any material contingent liabilities not listed on Schedule 10.6</w:t>
      </w:r>
    </w:p>
    <w:p>
      <w:pPr>
        <w:ind w:left="570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or permitted by Section 11.7.</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10.7 Ownership of Properties; Liens. Each of the Company and each</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Subsidiary owns good and, in the case of real property, marketable title to all of its properties and assets, real and personal, tangible and intangible, of any nature whatsoever (including patents, trademarks, trade names, service marks and copyrights), free and clear of all Liens, charges and claims (including infringement claims with respect to patents, trademarks, service marks, copyrights and the like) except as permitted by Section 11.8.</w:t>
      </w:r>
    </w:p>
    <w:p>
      <w:pPr>
        <w:ind w:left="42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10.8 Subsidiaries. As of the Closing Date, the Company has no Subsidiaries</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other than those listed on Schedule 10.8.</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10.9 Pension Plans.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twelve-consecutive-month period prior to the date of the execution and delivery of this Agreement or the making of any Loan, (i) no steps have been taken to terminate any Pension Plan and (ii) no contribution failure has occurred with respect to any Pension Plan sufficient to give rise to a Lien under Section 302(f) of ERISA. No condition exists or event or transaction has occurred with respect to any Pension Plan which could result in the incurrence by the Company of any material liability, fine or penalty.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72" w:name="page73"/>
    <w:bookmarkEnd w:id="72"/>
    <w:p>
      <w:pPr>
        <w:ind w:left="440" w:right="3239" w:firstLine="532"/>
        <w:spacing w:after="0" w:line="237" w:lineRule="auto"/>
        <w:tabs>
          <w:tab w:leader="none" w:pos="131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withdrawal liability with respect to any such plan or received notice of any claim or demand for withdrawal liability or partial withdrawal liability from any such plan, and no condition has occurred which, if continued, might result in a withdrawal or partial withdrawal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10.10 Investment Company Act. Neither the Company nor any Subsidiary is an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"investment company" or a company "controlled" by an "investment company", within the meaning of the Investment Company Act of 1940.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10.11 Public Utility Holding Company Act. Neither the Company nor any</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Subsidiary is a "holding company", or a "subsidiary company" of a "holding company", or an "affiliate" of a "holding company" or of a "subsidiary company" of a "holding company", within the meaning of the Public Utility Holding Company Act of 1935.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10.12 Regulation U. The Company is not engaged principally, or as one of</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its important activities, in the business of extending credit for the purpose of purchasing or carrying Margin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10.13 Taxes. Each of the Company and each Subsidiary has filed all tax</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returns and reports required by law to have been filed by it and has paid all taxes and governmental charges thereby shown to be owing, except any such taxes or charges which are being diligently contested in good faith by appropriate proceedings and for which adequate reserves in accordance with GAAP have been set aside on its books.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10.14 Solvency, etc. On the Closing Date, and immediately prior to and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after giving effect to the issuance of each Letter of Credit and each borrowing hereunder and the use of the proceeds thereof, (a) each of the Company's and each other Loan Party's assets will exceed its liabilities and (b) each of the Company and each other Loan Party will be solvent, will be able to pay its debts as they mature, will own property with fair saleable value greater than the amount required to pay its debts (including Suretyship Liabilities) and will have capital sufficient to carry on its business as then constituted.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10.15 Environmental Matters.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73" w:name="page74"/>
    <w:bookmarkEnd w:id="73"/>
    <w:p>
      <w:pPr>
        <w:ind w:left="780"/>
        <w:spacing w:after="0"/>
        <w:rPr>
          <w:sz w:val="20"/>
          <w:szCs w:val="20"/>
          <w:color w:val="auto"/>
        </w:rPr>
      </w:pPr>
      <w:r>
        <w:rPr>
          <w:rFonts w:ascii="Courier New" w:cs="Courier New" w:eastAsia="Courier New" w:hAnsi="Courier New"/>
          <w:sz w:val="15"/>
          <w:szCs w:val="15"/>
          <w:color w:val="auto"/>
        </w:rPr>
        <w:t>(a) No Violations. Except as set forth on Schedule 10.15,</w:t>
      </w:r>
    </w:p>
    <w:p>
      <w:pPr>
        <w:ind w:left="1140"/>
        <w:spacing w:after="0" w:line="237" w:lineRule="auto"/>
        <w:tabs>
          <w:tab w:leader="none" w:pos="4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neither the Company nor any Subsidiary, nor any operator of the Company's or any Subsidiary's properties, is in violation, or alleged violation, of any judgment, decree, order, law, permit, license, rule or regulation pertaining to environmental matters, including those arising under the Resource Conservation and Recovery Act ("RCRA"), the</w:t>
      </w:r>
    </w:p>
    <w:p>
      <w:pPr>
        <w:ind w:left="516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Comprehensive Environmental Response, Compensation and Liability Act of 1980 ("CERCLA"), the Superfund Amendments and Reauthorization Act of</w:t>
      </w:r>
    </w:p>
    <w:p>
      <w:pPr>
        <w:ind w:left="6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1986 or any other Environmental Law which (i) in any single case, requires expenditures in any three-year period of $250,000 or more by the Company and its Subsidiaries in penalties and/or for investigative, removal or remedial actions or (ii) individually or in the aggregate otherwise might reasonably be expected to have a Material Adverse Effect.</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 Notices. Except as set forth on Schedule 10.15 and for</w:t>
      </w:r>
    </w:p>
    <w:p>
      <w:pPr>
        <w:ind w:left="1140"/>
        <w:spacing w:after="0" w:line="237" w:lineRule="auto"/>
        <w:tabs>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matters arising after the Closing Date, in each case none of which could singly or in the aggregate be expected to have a Material Adverse Effect, neither the Company nor any Subsidiary has received notice from any third party, including any Federal, state or local governmental authority: (a) that any one of them has been identified by the U.S. Environmental Protection Agency as a potentially responsible party under CERCLA with respect to a site listed on the National Priorities List, 40 C.F.R. Part 300 Appendix B; (b) that any hazardous waste, as defined by 42 U.S.C. (S)6903(5), any hazardous substance as defined by 42 U.S.C. (S)9601(14), any pollutant or contaminant as defined by 42 U.S.C. (S)9601(33) or any toxic substance, oil or hazardous material or other chemical or substance regulated by any Environmental Law (all of the foregoing, "Hazardous Substances") which any one of them has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generated, transported or disposed of has been found at any site at which a Federal, state or local agency or other third party has conducted a remedial investigation, removal or other response action pursuant to any Environmental Law; (c) that the Company or any Subsidiary must conduct a remedial investigation, removal, response action or other activity pursuant to any Environmental Law; or (d) of any Environmental Claim.</w:t>
      </w:r>
    </w:p>
    <w:p>
      <w:pPr>
        <w:spacing w:after="0" w:line="169" w:lineRule="exact"/>
        <w:rPr>
          <w:sz w:val="20"/>
          <w:szCs w:val="20"/>
          <w:color w:val="auto"/>
        </w:rPr>
      </w:pPr>
    </w:p>
    <w:p>
      <w:pPr>
        <w:ind w:left="1140" w:hanging="356"/>
        <w:spacing w:after="0"/>
        <w:tabs>
          <w:tab w:leader="none" w:pos="11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Handling of Hazardous Substances. Except as set forth on</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10.15, (i) no portion of the real property or other assets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or any Subsidiary has been used for the handling, processing, storage or disposal of Hazardous Substances except in accordance in all material respects with applicable Environmental Laws; and no underground tank or other underground storage receptacle for Hazardous Substances is located on such properties; (ii) in the course of any activities conducted by the Company, any Subsidiary or the operators of any real property of the Company or any Subsidiary, no Hazardous Substances have been generated or are being used on such properties except in accordance in all material respects with applicable Environmental Laws; (iii) there have been no Releases or threatened Releases of Hazardous Substances on, upon, into or from any real property or other assets of the Company or any Subsidiary, which Releases singly or in the aggregate might reasonably be expected to have a material adverse effect on the value of such real property or assets; (iv) there have been no Releases on, upon, from or into any real property in the vicinity of the real property or other assets of the Company or any Subsidiary which,</w:t>
      </w:r>
    </w:p>
    <w:p>
      <w:pPr>
        <w:spacing w:after="0" w:line="3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439"/>
          </w:cols>
          <w:pgMar w:left="1020" w:top="617" w:right="1440" w:bottom="1440" w:gutter="0" w:footer="0" w:header="0"/>
        </w:sectPr>
      </w:pPr>
    </w:p>
    <w:bookmarkStart w:id="74" w:name="page75"/>
    <w:bookmarkEnd w:id="74"/>
    <w:p>
      <w:pPr>
        <w:ind w:left="440" w:right="3239"/>
        <w:spacing w:after="0" w:line="255" w:lineRule="auto"/>
        <w:rPr>
          <w:sz w:val="20"/>
          <w:szCs w:val="20"/>
          <w:color w:val="auto"/>
        </w:rPr>
      </w:pPr>
      <w:r>
        <w:rPr>
          <w:rFonts w:ascii="Courier New" w:cs="Courier New" w:eastAsia="Courier New" w:hAnsi="Courier New"/>
          <w:sz w:val="14"/>
          <w:szCs w:val="14"/>
          <w:color w:val="auto"/>
        </w:rPr>
        <w:t>through soil or groundwater contamination, may have come to be located on, and which might reasonably be expected to have a material adverse effect on the value of, the real property or other assets of the Company or any Subsidiary; and (v) any Hazardous Substances generated by the Company and its Subsidiaries have been transported offsite only by properly licensed carriers and delivered only to treatment or disposal facilities maintaining valid permits as required under applicable Environmental Laws, which transporters and facilities have been and are operating in compliance in all material respects with such permits and applicable Environmental Laws.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10.16 Insurance. Set forth on Schedule 10.16 is a complete and accurate</w:t>
      </w:r>
    </w:p>
    <w:p>
      <w:pPr>
        <w:ind w:left="980"/>
        <w:spacing w:after="0" w:line="237" w:lineRule="auto"/>
        <w:tabs>
          <w:tab w:leader="none" w:pos="3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summary of the liability, life and business interruption insurance carried by the Company and its Subsidiaries as of the Closing Date (including the names of all insurers, policy numbers, expiration dates, amounts and types of coverage, annual premiums, exclusions, deductibles, self-insured retention, and a description in reasonable detail of any self-insurance program, retrospective rating plan, fronting arrangement or other risk assumption arrangement involving the Company or any Subsidiary).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10.17 Real Property. Set forth on Schedule 10.17 is a complete and accurate</w:t>
      </w:r>
    </w:p>
    <w:p>
      <w:pPr>
        <w:spacing w:after="0" w:line="3" w:lineRule="exact"/>
        <w:rPr>
          <w:sz w:val="20"/>
          <w:szCs w:val="20"/>
          <w:color w:val="auto"/>
        </w:rPr>
      </w:pPr>
    </w:p>
    <w:p>
      <w:pPr>
        <w:ind w:left="980"/>
        <w:spacing w:after="0"/>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list, as of the Closing Date, of the addresses of all real property owned or leased by the Company or any Subsidiary, together with, in the case of leased property, the name and mailing address of the lessor of such property.</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10.18 Information. All information heretofore or contemporaneously herewith</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furnished in writing by the Company or any other Loan Party to the Bank for purposes of or in connection with this Agreement, the other Loan Documents and the transactions contemplated hereby is, and all written information hereafter furnished by or on behalf of the Company or any Subsidiary to the Bank pursuant hereto or thereto or in connection herewith or therewith will be, true and accurate in every material respect on the date as of which such information is dated or certified, and none of such information is or will be incomplete by omitting to state any material fact necessary to make such information not misleading in light of the circumstances under which made (it being recognized by the Bank that any projections and forecasts provided by the Company are based on good faith estimates and assumptions believed by the Company to be reasonable as of the date of the applicable projections or assumptions and that actual results during the period or periods covered by any such projections and forecasts may differ from projected or forecasted results).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10.19 Intellectual Property. The Company and each Subsidiary owns and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possesses or has a license or other right to use all patents, patent rights, trademarks, trademark rights, trade names, trade name rights, service marks, service mark rights and copyrights as are necessary for the conduct of the business of the Company and its Subsidiaries, without any infringement upon rights of others which could reasonably be expected to have a Material Adverse Effect. Attached hereto as Schedule 10.19 is a true, correct and complete</w:t>
      </w:r>
    </w:p>
    <w:p>
      <w:pPr>
        <w:ind w:left="238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listing of all such patents, patent rights, trademarks, trademark rights, trade names, trade name rights, service marks, service mark rights and copyrights.</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10.20</w:t>
            </w:r>
          </w:p>
        </w:tc>
        <w:tc>
          <w:tcPr>
            <w:tcW w:w="5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Burdensome Obligations. Neither the Company nor any Subsidiary is a</w:t>
            </w:r>
          </w:p>
        </w:tc>
      </w:tr>
      <w:tr>
        <w:trPr>
          <w:trHeight w:val="168"/>
        </w:trPr>
        <w:tc>
          <w:tcPr>
            <w:tcW w:w="1100" w:type="dxa"/>
            <w:vAlign w:val="bottom"/>
          </w:tcPr>
          <w:p>
            <w:pPr>
              <w:spacing w:after="0"/>
              <w:rPr>
                <w:sz w:val="14"/>
                <w:szCs w:val="14"/>
                <w:color w:val="auto"/>
              </w:rPr>
            </w:pP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2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party to any</w:t>
            </w:r>
          </w:p>
        </w:tc>
        <w:tc>
          <w:tcPr>
            <w:tcW w:w="5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agreement or contract or subject to any corporate, partnership 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entity</w:t>
            </w:r>
          </w:p>
        </w:tc>
        <w:tc>
          <w:tcPr>
            <w:tcW w:w="5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restriction which might reasonably be expected to have a Material</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Adverse Effect.</w:t>
            </w:r>
          </w:p>
        </w:tc>
        <w:tc>
          <w:tcPr>
            <w:tcW w:w="3220" w:type="dxa"/>
            <w:vAlign w:val="bottom"/>
          </w:tcPr>
          <w:p>
            <w:pPr>
              <w:spacing w:after="0"/>
              <w:rPr>
                <w:sz w:val="14"/>
                <w:szCs w:val="14"/>
                <w:color w:val="auto"/>
              </w:rPr>
            </w:pPr>
          </w:p>
        </w:tc>
      </w:tr>
      <w:tr>
        <w:trPr>
          <w:trHeight w:val="336"/>
        </w:trPr>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10.21</w:t>
            </w:r>
          </w:p>
        </w:tc>
        <w:tc>
          <w:tcPr>
            <w:tcW w:w="5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Labor Matters. Except as set forth on Schedule 10.21, neither the</w:t>
            </w:r>
          </w:p>
        </w:tc>
      </w:tr>
      <w:tr>
        <w:trPr>
          <w:trHeight w:val="168"/>
        </w:trPr>
        <w:tc>
          <w:tcPr>
            <w:tcW w:w="1100" w:type="dxa"/>
            <w:vAlign w:val="bottom"/>
          </w:tcPr>
          <w:p>
            <w:pPr>
              <w:spacing w:after="0"/>
              <w:rPr>
                <w:sz w:val="14"/>
                <w:szCs w:val="14"/>
                <w:color w:val="auto"/>
              </w:rPr>
            </w:pP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2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 nor any Subsidiary is subject to any labor or collective bargaining agreement. There are no existing or threatened strikes, lockouts or other labor disputes involving the Company or any Subsidiary that singly or in the aggregate could reasonably be expected to have a Material Adverse Effect. Hours worked by and payment made to employees of the Company and its Subsidiaries are not in violation of the Fair Labor Standards Act or any other applicable law, rule or regulation dealing with such matters.</w:t>
      </w:r>
    </w:p>
    <w:p>
      <w:pPr>
        <w:spacing w:after="0" w:line="169"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4"/>
          <w:szCs w:val="14"/>
          <w:color w:val="auto"/>
        </w:rPr>
        <w:t>No Default. No Event of Default or Unmatured Event of Default</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exists or would result from the incurring by the Company or any Subsidiary of any Debt or the granting of any Lien hereunder or under any other Loan Document.</w:t>
      </w:r>
    </w:p>
    <w:p>
      <w:pPr>
        <w:spacing w:after="0" w:line="15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Until the expiration or termination of the Commitment and thereafter until all Obligations are paid in full, the Company agrees that, unless at any time the Bank shall otherwise expressly consent in writing, it will:</w:t>
      </w:r>
    </w:p>
    <w:p>
      <w:pPr>
        <w:spacing w:after="0" w:line="167" w:lineRule="exact"/>
        <w:rPr>
          <w:sz w:val="20"/>
          <w:szCs w:val="20"/>
          <w:color w:val="auto"/>
        </w:rPr>
      </w:pPr>
    </w:p>
    <w:p>
      <w:pPr>
        <w:ind w:left="440"/>
        <w:spacing w:after="0"/>
        <w:tabs>
          <w:tab w:leader="none" w:pos="1120" w:val="left"/>
          <w:tab w:leader="none" w:pos="51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Reports, Certificates and Other Information.</w:t>
      </w:r>
      <w:r>
        <w:rPr>
          <w:sz w:val="20"/>
          <w:szCs w:val="20"/>
          <w:color w:val="auto"/>
        </w:rPr>
        <w:tab/>
      </w:r>
      <w:r>
        <w:rPr>
          <w:rFonts w:ascii="Courier New" w:cs="Courier New" w:eastAsia="Courier New" w:hAnsi="Courier New"/>
          <w:sz w:val="14"/>
          <w:szCs w:val="14"/>
          <w:color w:val="auto"/>
        </w:rPr>
        <w:t>Furnish to the Bank:</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4"/>
          <w:szCs w:val="14"/>
          <w:color w:val="auto"/>
        </w:rPr>
        <w:t>10-K. Promptly when available and in any event within 105 days</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after the close of each Fiscal Year, a copy of the Company's Annual Report on Form 10-K as filed with the SEC.</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11.1.2</w:t>
      </w:r>
      <w:r>
        <w:rPr>
          <w:sz w:val="20"/>
          <w:szCs w:val="20"/>
          <w:color w:val="auto"/>
        </w:rPr>
        <w:tab/>
      </w:r>
      <w:r>
        <w:rPr>
          <w:rFonts w:ascii="Courier New" w:cs="Courier New" w:eastAsia="Courier New" w:hAnsi="Courier New"/>
          <w:sz w:val="14"/>
          <w:szCs w:val="14"/>
          <w:color w:val="auto"/>
        </w:rPr>
        <w:t>10-Q Promptly when available and in any event within 60 days after</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close of each Fiscal Quarter, a copy of the Company's Quarterly Report on Form 10-Q as filed with the SEC.</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11.1.3</w:t>
      </w:r>
      <w:r>
        <w:rPr>
          <w:sz w:val="20"/>
          <w:szCs w:val="20"/>
          <w:color w:val="auto"/>
        </w:rPr>
        <w:tab/>
      </w:r>
      <w:r>
        <w:rPr>
          <w:rFonts w:ascii="Courier New" w:cs="Courier New" w:eastAsia="Courier New" w:hAnsi="Courier New"/>
          <w:sz w:val="14"/>
          <w:szCs w:val="14"/>
          <w:color w:val="auto"/>
        </w:rPr>
        <w:t>Compliance Certificates. Contemporaneously with the furnishing of a</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copy of each report pursuant to Section 11.1.1 and Section 11.1.2 and the</w:t>
      </w:r>
    </w:p>
    <w:p>
      <w:pPr>
        <w:ind w:left="2800"/>
        <w:spacing w:after="0" w:line="237" w:lineRule="auto"/>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financial statements required therein, a duly completed compliance certificate in the form of Exhibit B, with appropriate insertions, dated the date of such</w:t>
      </w:r>
    </w:p>
    <w:p>
      <w:pPr>
        <w:ind w:left="132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annual report or such quarterly reports and signed by the Chief Financial Officer of the Company, containing (i) a computation of each of the financial ratios and restrictions required to demonstrate compliance with the covenants set forth in Section 11.6 and a statement to the effect that such officer has</w:t>
      </w:r>
    </w:p>
    <w:p>
      <w:pPr>
        <w:ind w:left="114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not become aware of any Event of Default or Unmatured Event of Default that has occurred and is continuing or, if there is any such event, describing it and the steps, if any, being taken to cure it and (ii) a summary aging of all accounts receivable of the Company and its Subsidiaries, without regard to any specific account debtor (provided, that if so requested by Bank, in Bank's sole</w:t>
      </w:r>
    </w:p>
    <w:p>
      <w:pPr>
        <w:ind w:left="140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discretion, the Company shall provide an aging of all accounts receivable of the Company and its Subsidiaries with detailed reference to specific account debtors).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76" w:name="page77"/>
    <w:bookmarkEnd w:id="76"/>
    <w:p>
      <w:pPr>
        <w:ind w:left="440"/>
        <w:spacing w:after="0"/>
        <w:rPr>
          <w:sz w:val="20"/>
          <w:szCs w:val="20"/>
          <w:color w:val="auto"/>
        </w:rPr>
      </w:pPr>
      <w:r>
        <w:rPr>
          <w:rFonts w:ascii="Courier New" w:cs="Courier New" w:eastAsia="Courier New" w:hAnsi="Courier New"/>
          <w:sz w:val="14"/>
          <w:szCs w:val="14"/>
          <w:color w:val="auto"/>
        </w:rPr>
        <w:t>11.1.4 Reports to the SEC and to Shareholders. Promptly upon the filing or</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sending thereof, copies of all regular, periodic or special reports of the Company or any Subsidiary filed with the SEC, copies of all registration statements of the Company or any Subsidiary filed with the SEC, and copies of all proxy statements or other communications made to security holders generally.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11.1.5 Notice of Default, Litigation and ERISA Matters. Promptly upon</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becoming aware of any of the following, written notice describing the same and the steps being taken by the Company or the Subsidiary affected thereby with respect thereto:</w:t>
      </w:r>
    </w:p>
    <w:p>
      <w:pPr>
        <w:spacing w:after="0" w:line="167" w:lineRule="exact"/>
        <w:rPr>
          <w:sz w:val="20"/>
          <w:szCs w:val="20"/>
          <w:color w:val="auto"/>
        </w:rPr>
      </w:pPr>
    </w:p>
    <w:p>
      <w:pPr>
        <w:ind w:left="1400" w:hanging="341"/>
        <w:spacing w:after="0"/>
        <w:tabs>
          <w:tab w:leader="none" w:pos="14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 Event of Default or an Unmatured Event of</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Default;</w:t>
      </w:r>
    </w:p>
    <w:p>
      <w:pPr>
        <w:spacing w:after="0" w:line="173" w:lineRule="exact"/>
        <w:rPr>
          <w:rFonts w:ascii="Courier New" w:cs="Courier New" w:eastAsia="Courier New" w:hAnsi="Courier New"/>
          <w:sz w:val="15"/>
          <w:szCs w:val="15"/>
          <w:color w:val="auto"/>
        </w:rPr>
      </w:pPr>
    </w:p>
    <w:p>
      <w:pPr>
        <w:ind w:left="440" w:right="3319" w:firstLine="619"/>
        <w:spacing w:after="0" w:line="236" w:lineRule="auto"/>
        <w:tabs>
          <w:tab w:leader="none" w:pos="140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litigation, arbitration or governmental investigation or proceeding not previously disclosed by the Company to the Bank which has been instituted or, to the knowledge of the Company, is threatened against the Company or any Subsidiary or to which any of the properties of any thereof is subject which might reasonably be expected to have a Material Adverse Effect;</w:t>
      </w:r>
    </w:p>
    <w:p>
      <w:pPr>
        <w:spacing w:after="0" w:line="174" w:lineRule="exact"/>
        <w:rPr>
          <w:rFonts w:ascii="Courier New" w:cs="Courier New" w:eastAsia="Courier New" w:hAnsi="Courier New"/>
          <w:sz w:val="15"/>
          <w:szCs w:val="15"/>
          <w:color w:val="auto"/>
        </w:rPr>
      </w:pPr>
    </w:p>
    <w:p>
      <w:pPr>
        <w:ind w:left="440" w:right="3239" w:firstLine="619"/>
        <w:spacing w:after="0" w:line="254" w:lineRule="auto"/>
        <w:tabs>
          <w:tab w:leader="none" w:pos="140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of any steps by any member of the Controlled Group or any other Person to terminate any Pension Plan, or the failure of any member of the Controlled Group to make a required contribution to any Pension Plan (if such failure is sufficient to give rise to a Lien under Section 302(f) of ERISA) or to any Multiemployer Pension Plan, or the taking of any action with respect to a Pension Plan which could result in the requirement that the Company furnish a bond or other security to the PBGC or such Pension Plan, or the occurrence of any event with respect to any Pension Plan or Multiemployer Pension Plan which could result in the incurrence by any member of the Controlled Group of any material liability, fine or penalty (including any claim or demand for withdrawal liability or partial withdrawal from any Multiemployer Pension Plan), or any material increase in the contingent liability of the Company with respect to any post-retirement welfare plan benefit, or any notice that any Multiemployer Pension Plan is in reorganization, that increased contributions may be required to avoid a reduction in plan benefits or the imposition of an excise tax, that any such plan is or has been funded at a rate less than that required under Section 412 of the Code, that any such plan is or may be terminated, or that any such plan is or may become insolvent;</w:t>
      </w:r>
    </w:p>
    <w:p>
      <w:pPr>
        <w:spacing w:after="0" w:line="174" w:lineRule="exact"/>
        <w:rPr>
          <w:rFonts w:ascii="Courier New" w:cs="Courier New" w:eastAsia="Courier New" w:hAnsi="Courier New"/>
          <w:sz w:val="14"/>
          <w:szCs w:val="14"/>
          <w:color w:val="auto"/>
        </w:rPr>
      </w:pPr>
    </w:p>
    <w:p>
      <w:pPr>
        <w:ind w:left="440" w:right="3499" w:firstLine="619"/>
        <w:spacing w:after="0" w:line="234" w:lineRule="auto"/>
        <w:tabs>
          <w:tab w:leader="none" w:pos="140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cancellation or material change in any insurance maintained by the Company or any Subsidiary; or</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(including (i) any violation of any</w:t>
      </w:r>
    </w:p>
    <w:p>
      <w:pPr>
        <w:spacing w:after="0" w:line="4"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 or the assertion of any Environmental Claim or (ii) the enactment or effectiveness of any law, rule or regulation) which might reasonably be expected to have a Material Adverse Effect.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11.1.6 Management Reports. Promptly upon the request of the Bank, copies of</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all detailed financial and management reports submitted to the Company by independent auditors in connection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3" w:right="1440" w:bottom="1440" w:gutter="0" w:footer="0" w:header="0"/>
        </w:sectPr>
      </w:pPr>
    </w:p>
    <w:bookmarkStart w:id="77" w:name="page78"/>
    <w:bookmarkEnd w:id="77"/>
    <w:p>
      <w:pPr>
        <w:ind w:right="4019"/>
        <w:spacing w:after="0" w:line="234" w:lineRule="auto"/>
        <w:rPr>
          <w:sz w:val="20"/>
          <w:szCs w:val="20"/>
          <w:color w:val="auto"/>
        </w:rPr>
      </w:pPr>
      <w:r>
        <w:rPr>
          <w:rFonts w:ascii="Courier New" w:cs="Courier New" w:eastAsia="Courier New" w:hAnsi="Courier New"/>
          <w:sz w:val="15"/>
          <w:szCs w:val="15"/>
          <w:color w:val="auto"/>
        </w:rPr>
        <w:t>with each annual or interim audit made by such auditors of the books or financial statements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11.1.7 Intentionally omitted.</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11.1.8 Other Information. Promptly from time to time, such other</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information concerning the Company and its Subsidiaries as the Bank may reasonably request.</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Books, Records and Inspections. Keep, and cause each Subsidiary to</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keep, its books and records in accordance with sound business practices sufficient to allow the preparation of financial statements in accordance with GAAP; permit, and cause each Subsidiary to permit, the Bank or any representative thereof to inspect the properties and operations of the Company or such Subsidiary; and permit, and cause each Subsidiary to permit, at any reasonable time and with reasonable notice (or at any time without notice if an Event of Default exists), the Bank or any representative thereof to visit any or all of its offices, to discuss its financial matters with its officers and its independent auditors (and the Company hereby authorizes such independent auditors to discuss such financial matters with the Bank or any representative thereof), and to examine (and, at the expense of the Company or the applicable Subsidiary, photocopy extracts from) any of its books or other records; and permit, and cause each Subsidiary to permit, the Bank and its representatives to inspect, audit, check and make copies of and extracts from the books, records, computer data, computer programs, journals, orders, receipts, correspondence and other data. All such inspections or audits by the Bank shall be at the Company's expense.</w:t>
      </w:r>
    </w:p>
    <w:p>
      <w:pPr>
        <w:spacing w:after="0" w:line="169"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Maintenance of Property; Insurance.</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firstLine="619"/>
        <w:spacing w:after="0" w:line="235" w:lineRule="auto"/>
        <w:tabs>
          <w:tab w:leader="none" w:pos="140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and cause each Subsidiary to keep, all property useful and necessary in the business of the Company or such Subsidiary in good working order and condition, ordinary wear and tear excepted.</w:t>
      </w:r>
    </w:p>
    <w:p>
      <w:pPr>
        <w:spacing w:after="0" w:line="173" w:lineRule="exact"/>
        <w:rPr>
          <w:rFonts w:ascii="Courier New" w:cs="Courier New" w:eastAsia="Courier New" w:hAnsi="Courier New"/>
          <w:sz w:val="15"/>
          <w:szCs w:val="15"/>
          <w:color w:val="auto"/>
        </w:rPr>
      </w:pPr>
    </w:p>
    <w:p>
      <w:pPr>
        <w:ind w:left="440" w:right="3239" w:firstLine="619"/>
        <w:spacing w:after="0" w:line="255" w:lineRule="auto"/>
        <w:tabs>
          <w:tab w:leader="none" w:pos="140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cause each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but which shall insure against all risks and liabilities of the type identified on Schedule 10.16 and shall have insured amounts no less than, and deductibles no higher than, those set forth on such schedule; and, upon request of the Bank, furnish to the Bank a certificate setting forth in reasonable detail the nature and extent of all insurance maintained by the Company and its Subsidiaries. The Company shall cause each issuer of an insurance policy to provide the Bank with an endorsement (i) showing loss payable to the Bank with respect to each policy of business interruption insurance and naming the Bank as loss payee with respect to each policy of insurance for business interruption damage, (ii) providing that 30 days' notice will be given to the Bank prior to any cancellation of, material reduction or change in coverage provided by or other material modification to such policy and (iii) reasonably acceptable in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78" w:name="page79"/>
    <w:bookmarkEnd w:id="78"/>
    <w:p>
      <w:pPr>
        <w:ind w:left="440" w:right="3239"/>
        <w:spacing w:after="0" w:line="235" w:lineRule="auto"/>
        <w:rPr>
          <w:sz w:val="20"/>
          <w:szCs w:val="20"/>
          <w:color w:val="auto"/>
        </w:rPr>
      </w:pPr>
      <w:r>
        <w:rPr>
          <w:rFonts w:ascii="Courier New" w:cs="Courier New" w:eastAsia="Courier New" w:hAnsi="Courier New"/>
          <w:sz w:val="15"/>
          <w:szCs w:val="15"/>
          <w:color w:val="auto"/>
        </w:rPr>
        <w:t>all other respects to the Bank. The Company shall execute and deliver to the Bank a collateral assignment, in form and substance satisfactory to the Bank, of each business interruption insurance policy maintained by the Company.</w:t>
      </w:r>
    </w:p>
    <w:p>
      <w:pPr>
        <w:spacing w:after="0" w:line="175" w:lineRule="exact"/>
        <w:rPr>
          <w:sz w:val="20"/>
          <w:szCs w:val="20"/>
          <w:color w:val="auto"/>
        </w:rPr>
      </w:pPr>
    </w:p>
    <w:p>
      <w:pPr>
        <w:ind w:left="440" w:right="3319" w:firstLine="444"/>
        <w:spacing w:after="0" w:line="255" w:lineRule="auto"/>
        <w:tabs>
          <w:tab w:leader="none" w:pos="122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 PROVIDES THE BANK WITH EVIDENCE OF THE INSURANCE COVERAGE REQUIRED BY THIS AGREEMENT, THE BANK MAY PURCHASE INSURANCE AT THE COMPANY'S EXPENSE. THIS INSURANCE MAY, BUT NEED NOT, PROTECT THE COMPANY'S INTERESTS. THE COVERAGE THAT THE BANK PURCHASES MAY NOT PAY ANY CLAIM THAT IS MADE AGAINST THE COMPANY. THE COMPANY MAY LATER CANCEL ANY INSURANCE PURCHASED BY THE BANK, BUT ONLY AFTER PROVIDING THE BANK WITH EVIDENCE THAT THE COMPANY HAS OBTAINED INSURANCE AS REQUIRED BY THIS AGREEMENT. IF THE BANK PURCHASES INSURANCE, THE COMPANY WILL BE RESPONSIBLE FOR THE COSTS OF THAT INSURANCE, INCLUDING INTEREST AND ANY OTHER CHARGES THAT MAY BE IMPOSED WITH THE PLACEMENT OF THE INSURANCE, UNTIL THE EFFECTIVE DATE OF THE CANCELLATION OR EXPIRATION OF THE INSURANCE. THE COSTS OF THE INSURANCE MAY BE ADDED TO THE PRINCIPAL AMOUNT OF THE LOANS OWING HEREUNDER. THE COSTS OF THE INSURANCE MAY BE MORE THAN THE COST OF THE INSURANCE THE COMPANY MAY BE ABLE TO OBTAIN ON ITS OWN.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11.4 Compliance with Laws; Payment of Taxes; Liabilities. (a) Comply, and</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cause each Subsidiary to comply, in all material respects with all applicable laws, rules, regulations, decrees, orders, judgments, licenses and permits, except where failure to comply could not reasonably be expected to have a Material Adverse Effect; (b) pay, and cause each Subsidiary to pay, prior to delinquency, all taxes and other governmental charges against it or any of its property, as well as claims of any kind which, if unpaid, might become a Lien on any of its property; provided that the foregoing shall not require the Company</w:t>
      </w:r>
    </w:p>
    <w:p>
      <w:pPr>
        <w:ind w:left="184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or any Subsidiary to pay any such tax or charge so long as it shall contest the validity thereof in good faith by appropriate proceedings and shall set aside on its books adequate reserves with respect thereto in accordance with GAAP; and</w:t>
      </w:r>
    </w:p>
    <w:p>
      <w:pPr>
        <w:spacing w:after="0" w:line="1" w:lineRule="exact"/>
        <w:rPr>
          <w:sz w:val="20"/>
          <w:szCs w:val="20"/>
          <w:color w:val="auto"/>
        </w:rPr>
      </w:pPr>
    </w:p>
    <w:p>
      <w:pPr>
        <w:ind w:right="3399" w:firstLine="10"/>
        <w:spacing w:after="0" w:line="234" w:lineRule="auto"/>
        <w:tabs>
          <w:tab w:leader="none" w:pos="3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 the Bank of all contingent liabilities in excess of $1,000,000 that are not reflected in the Company's financial statements.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11.5 Maintenance of Existence, etc. Maintain and preserve, and cause each</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Material Subsidiary to maintain and preserve, (a) its existence and good standing in the jurisdiction of its organization and (b) its qualification to do business and good standing in each jurisdiction where the nature of its business makes such qualification necessary (except in those instances in which the failure to be qualified or in good standing does not, and is not reasonably expected to, have a Material Adverse Effect). The Company and each Material Subsidiary shall not change its jurisdiction of organization except upon 30 days' prior written notice to the Bank.</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11.6 Financial Covenants.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79" w:name="page80"/>
    <w:bookmarkEnd w:id="79"/>
    <w:p>
      <w:pPr>
        <w:ind w:left="440"/>
        <w:spacing w:after="0"/>
        <w:rPr>
          <w:sz w:val="20"/>
          <w:szCs w:val="20"/>
          <w:color w:val="auto"/>
        </w:rPr>
      </w:pPr>
      <w:r>
        <w:rPr>
          <w:rFonts w:ascii="Courier New" w:cs="Courier New" w:eastAsia="Courier New" w:hAnsi="Courier New"/>
          <w:sz w:val="15"/>
          <w:szCs w:val="15"/>
          <w:color w:val="auto"/>
        </w:rPr>
        <w:t>11.6.1 Fixed Charge Coverage Ratio. Not permit the Fixed Charge Coverage</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Ratio for any Computation Period to be less than 1.50 to 1.00.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11.6.2 Leverage Ratio. Not permit the ratio of Total Liabilities to</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Tangible Net Worth at any time to be greater than 3.00 to 1.00.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11.6.3 Dividends. Not declare dividends during any fiscal quarter in excess</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of thirty-five percent (35%) of the Consolidated Net Income for the immediately preceding four-quarter period.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11.6.4 Capital Expenditures. Not permit the aggregate amount of all Capital</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Expenditures made by the Company and its Subsidiaries in any Fiscal Year to exceed $6,000,000, other than those made or deemed made as part of a transaction contemplated in Section 11.11.</w:t>
      </w:r>
    </w:p>
    <w:p>
      <w:pPr>
        <w:ind w:left="14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11.6.5 Tangible Net Worth. Not permit Tangible Net Worth at any time to be</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less than $55,000,000.</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4"/>
          <w:szCs w:val="14"/>
          <w:color w:val="auto"/>
        </w:rPr>
        <w:t>Limitations on Debt. Without the prior written consent of Bank, not,</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nor permit any Subsidiary to, create, incur, assume or suffer to exist any Debt, except:</w:t>
      </w:r>
    </w:p>
    <w:p>
      <w:pPr>
        <w:spacing w:after="0" w:line="167" w:lineRule="exact"/>
        <w:rPr>
          <w:sz w:val="20"/>
          <w:szCs w:val="20"/>
          <w:color w:val="auto"/>
        </w:rPr>
      </w:pPr>
    </w:p>
    <w:p>
      <w:pPr>
        <w:ind w:left="1400" w:hanging="341"/>
        <w:spacing w:after="0"/>
        <w:tabs>
          <w:tab w:leader="none" w:pos="14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w:t>
      </w:r>
    </w:p>
    <w:p>
      <w:pPr>
        <w:spacing w:after="0" w:line="172"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secured by Liens permitted by Section 11.8, and extensions,</w:t>
      </w:r>
    </w:p>
    <w:p>
      <w:pPr>
        <w:spacing w:after="0" w:line="4" w:lineRule="exact"/>
        <w:rPr>
          <w:rFonts w:ascii="Courier New" w:cs="Courier New" w:eastAsia="Courier New" w:hAnsi="Courier New"/>
          <w:sz w:val="14"/>
          <w:szCs w:val="14"/>
          <w:color w:val="auto"/>
        </w:rPr>
      </w:pPr>
    </w:p>
    <w:p>
      <w:pPr>
        <w:ind w:left="44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renewals and refinancings thereof;</w:t>
      </w:r>
    </w:p>
    <w:p>
      <w:pPr>
        <w:spacing w:after="0" w:line="173" w:lineRule="exact"/>
        <w:rPr>
          <w:sz w:val="20"/>
          <w:szCs w:val="20"/>
          <w:color w:val="auto"/>
        </w:rPr>
      </w:pPr>
    </w:p>
    <w:p>
      <w:pPr>
        <w:ind w:left="440" w:right="3239" w:firstLine="619"/>
        <w:spacing w:after="0" w:line="235" w:lineRule="auto"/>
        <w:tabs>
          <w:tab w:leader="none" w:pos="140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of majority controlled or Wholly-Owned Subsidiaries to the Company in an amount not to exceed $30,000,000 in the aggregate at any time outstanding;</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of Subsidiaries other than those described in Section</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11.7(c) to the Company in an amount not to exceed $10,000,000 in the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aggregate at any time outstanding;</w:t>
      </w:r>
    </w:p>
    <w:p>
      <w:pPr>
        <w:spacing w:after="0" w:line="173" w:lineRule="exact"/>
        <w:rPr>
          <w:sz w:val="20"/>
          <w:szCs w:val="20"/>
          <w:color w:val="auto"/>
        </w:rPr>
      </w:pPr>
    </w:p>
    <w:p>
      <w:pPr>
        <w:ind w:left="440" w:right="3499" w:firstLine="619"/>
        <w:spacing w:after="0" w:line="236" w:lineRule="auto"/>
        <w:tabs>
          <w:tab w:leader="none" w:pos="140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additional indebtedness for borrowed money, secured or unsecured, or in the form of purchase money obligations in an aggregate amount at any one time outstanding not to exceed $5,000,000, other than Obligations or indebtedness made or deemed made as part of a transaction contemplated in Section 11.11;</w:t>
      </w:r>
    </w:p>
    <w:p>
      <w:pPr>
        <w:ind w:left="1840"/>
        <w:spacing w:after="0"/>
        <w:rPr>
          <w:sz w:val="20"/>
          <w:szCs w:val="20"/>
          <w:color w:val="auto"/>
        </w:rPr>
      </w:pPr>
      <w:r>
        <w:rPr>
          <w:rFonts w:ascii="Courier New" w:cs="Courier New" w:eastAsia="Courier New" w:hAnsi="Courier New"/>
          <w:sz w:val="15"/>
          <w:szCs w:val="15"/>
          <w:color w:val="auto"/>
        </w:rPr>
        <w:t>-------------</w:t>
      </w:r>
    </w:p>
    <w:p>
      <w:pPr>
        <w:spacing w:after="0" w:line="172" w:lineRule="exact"/>
        <w:rPr>
          <w:sz w:val="20"/>
          <w:szCs w:val="20"/>
          <w:color w:val="auto"/>
        </w:rPr>
      </w:pPr>
    </w:p>
    <w:p>
      <w:pPr>
        <w:ind w:left="440" w:right="3319" w:firstLine="619"/>
        <w:spacing w:after="0" w:line="254" w:lineRule="auto"/>
        <w:tabs>
          <w:tab w:leader="none" w:pos="140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Non-speculative fuel Hedging Obligations incurred in the normal course of business; provided, however, that the Company may incur</w:t>
      </w:r>
    </w:p>
    <w:p>
      <w:pPr>
        <w:ind w:left="2200"/>
        <w:spacing w:after="0"/>
        <w:tabs>
          <w:tab w:leader="none" w:pos="3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speculative fuel Hedging Obligations so long as such Hedging Obligations do not exceed $10,000,000 in the aggregate at any time outstanding;</w:t>
      </w:r>
    </w:p>
    <w:p>
      <w:pPr>
        <w:spacing w:after="0" w:line="167" w:lineRule="exact"/>
        <w:rPr>
          <w:sz w:val="20"/>
          <w:szCs w:val="20"/>
          <w:color w:val="auto"/>
        </w:rPr>
      </w:pPr>
    </w:p>
    <w:p>
      <w:pPr>
        <w:ind w:left="1400" w:hanging="341"/>
        <w:spacing w:after="0"/>
        <w:tabs>
          <w:tab w:leader="none" w:pos="14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described on Schedule 11.7 and any extension, renewal or</w:t>
      </w:r>
    </w:p>
    <w:p>
      <w:pPr>
        <w:ind w:left="2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4019"/>
        <w:spacing w:after="0" w:line="234" w:lineRule="auto"/>
        <w:rPr>
          <w:sz w:val="20"/>
          <w:szCs w:val="20"/>
          <w:color w:val="auto"/>
        </w:rPr>
      </w:pPr>
      <w:r>
        <w:rPr>
          <w:rFonts w:ascii="Courier New" w:cs="Courier New" w:eastAsia="Courier New" w:hAnsi="Courier New"/>
          <w:sz w:val="15"/>
          <w:szCs w:val="15"/>
          <w:color w:val="auto"/>
        </w:rPr>
        <w:t>refinancing thereof so long as the principal amount thereof is not increased;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80" w:name="page81"/>
    <w:bookmarkEnd w:id="80"/>
    <w:p>
      <w:pPr>
        <w:ind w:left="1400" w:hanging="341"/>
        <w:spacing w:after="0"/>
        <w:tabs>
          <w:tab w:leader="none" w:pos="14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Suretyship Liabilities permitted in Section 11.21.</w:t>
      </w:r>
    </w:p>
    <w:p>
      <w:pPr>
        <w:ind w:left="45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4"/>
          <w:szCs w:val="14"/>
          <w:color w:val="auto"/>
        </w:rPr>
        <w:t>Liens. Not, and not permit any Subsidiary to, create or permit to</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exist any Lien on any of its real or personal properties, assets or rights of whatsoever nature (whether now owned or hereafter acquired), except:</w:t>
      </w:r>
    </w:p>
    <w:p>
      <w:pPr>
        <w:spacing w:after="0" w:line="173" w:lineRule="exact"/>
        <w:rPr>
          <w:sz w:val="20"/>
          <w:szCs w:val="20"/>
          <w:color w:val="auto"/>
        </w:rPr>
      </w:pPr>
    </w:p>
    <w:p>
      <w:pPr>
        <w:ind w:left="440" w:right="3239" w:firstLine="619"/>
        <w:spacing w:after="0" w:line="235" w:lineRule="auto"/>
        <w:tabs>
          <w:tab w:leader="none" w:pos="140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or other governmental charges not at the time delinquent or thereafter payable without penalty or being contested in good faith by appropriate proceedings and, in each case, for which it maintains adequate reserves;</w:t>
      </w:r>
    </w:p>
    <w:p>
      <w:pPr>
        <w:spacing w:after="0" w:line="175" w:lineRule="exact"/>
        <w:rPr>
          <w:rFonts w:ascii="Courier New" w:cs="Courier New" w:eastAsia="Courier New" w:hAnsi="Courier New"/>
          <w:sz w:val="15"/>
          <w:szCs w:val="15"/>
          <w:color w:val="auto"/>
        </w:rPr>
      </w:pPr>
    </w:p>
    <w:p>
      <w:pPr>
        <w:ind w:left="440" w:right="3239" w:firstLine="619"/>
        <w:spacing w:after="0" w:line="236" w:lineRule="auto"/>
        <w:tabs>
          <w:tab w:leader="none" w:pos="140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the ordinary course of business (such as (i) Liens of carriers, warehousemen, mechanics, landlords and materialmen and other similar Liens imposed by law and (ii) Liens incurred in connection with worker's compensation, unemployment compensation and other types of social security (excluding Liens arising under ERISA) or in connection with surety bonds, bids, performance bonds and similar obligations) for sums not overdue or being contested in good faith by appropriate proceedings and not involving any deposits or advances or borrowed money or the deferred purchase price of property or services and, in each case, for which it maintains adequate reserves;</w:t>
      </w:r>
    </w:p>
    <w:p>
      <w:pPr>
        <w:spacing w:after="0" w:line="172"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described on Schedule 11.8;</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319" w:firstLine="619"/>
        <w:spacing w:after="0" w:line="235" w:lineRule="auto"/>
        <w:tabs>
          <w:tab w:leader="none" w:pos="140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property at the time of the acquisition thereof by the Company or any Subsidiary (and not created in contemplation of such acquisition);</w:t>
      </w:r>
    </w:p>
    <w:p>
      <w:pPr>
        <w:spacing w:after="0" w:line="173" w:lineRule="exact"/>
        <w:rPr>
          <w:rFonts w:ascii="Courier New" w:cs="Courier New" w:eastAsia="Courier New" w:hAnsi="Courier New"/>
          <w:sz w:val="15"/>
          <w:szCs w:val="15"/>
          <w:color w:val="auto"/>
        </w:rPr>
      </w:pPr>
    </w:p>
    <w:p>
      <w:pPr>
        <w:ind w:left="440" w:right="3399" w:firstLine="619"/>
        <w:spacing w:after="0" w:line="236" w:lineRule="auto"/>
        <w:tabs>
          <w:tab w:leader="none" w:pos="140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attachments, appeal bonds, judgments and other similar Liens, for sums not exceeding $100,000 arising in connection with court proceedings, provided the execution or other enforcement of such Liens is effectively stayed and the claims secured thereby are being actively contested in good faith and by appropriate proceedings;</w:t>
      </w:r>
    </w:p>
    <w:p>
      <w:pPr>
        <w:spacing w:after="0" w:line="173" w:lineRule="exact"/>
        <w:rPr>
          <w:rFonts w:ascii="Courier New" w:cs="Courier New" w:eastAsia="Courier New" w:hAnsi="Courier New"/>
          <w:sz w:val="15"/>
          <w:szCs w:val="15"/>
          <w:color w:val="auto"/>
        </w:rPr>
      </w:pPr>
    </w:p>
    <w:p>
      <w:pPr>
        <w:ind w:left="440" w:right="3399" w:firstLine="619"/>
        <w:spacing w:after="0" w:line="235" w:lineRule="auto"/>
        <w:tabs>
          <w:tab w:leader="none" w:pos="140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 of way, restrictions, minor defects or irregularities in title and other similar Liens not interfering in any material respect with the ordinary conduct of the business of the Company or any Subsidiary;</w:t>
      </w:r>
    </w:p>
    <w:p>
      <w:pPr>
        <w:spacing w:after="0" w:line="168"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under the Loan Documents;</w:t>
      </w:r>
    </w:p>
    <w:p>
      <w:pPr>
        <w:spacing w:after="0" w:line="172" w:lineRule="exact"/>
        <w:rPr>
          <w:rFonts w:ascii="Courier New" w:cs="Courier New" w:eastAsia="Courier New" w:hAnsi="Courier New"/>
          <w:sz w:val="15"/>
          <w:szCs w:val="15"/>
          <w:color w:val="auto"/>
        </w:rPr>
      </w:pPr>
    </w:p>
    <w:p>
      <w:pPr>
        <w:ind w:left="440" w:right="3399" w:firstLine="619"/>
        <w:spacing w:after="0" w:line="254" w:lineRule="auto"/>
        <w:tabs>
          <w:tab w:leader="none" w:pos="140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replacement, extension or renewal of any Lien permitted by Section 11.8(c) upon or in the same property theretofore subject thereto</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440"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arising out of the extension, renewal or replacement of the Debt secured thereby (without increase in the amount thereof); and</w:t>
      </w:r>
    </w:p>
    <w:p>
      <w:pPr>
        <w:spacing w:after="0" w:line="173" w:lineRule="exact"/>
        <w:rPr>
          <w:rFonts w:ascii="Courier New" w:cs="Courier New" w:eastAsia="Courier New" w:hAnsi="Courier New"/>
          <w:sz w:val="14"/>
          <w:szCs w:val="14"/>
          <w:color w:val="auto"/>
        </w:rPr>
      </w:pPr>
    </w:p>
    <w:p>
      <w:pPr>
        <w:ind w:left="440" w:right="3679" w:firstLine="619"/>
        <w:spacing w:after="0" w:line="234" w:lineRule="auto"/>
        <w:tabs>
          <w:tab w:leader="none" w:pos="140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new indebtedness permitted under Section 11.7(e).</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81" w:name="page82"/>
    <w:bookmarkEnd w:id="81"/>
    <w:p>
      <w:pPr>
        <w:ind w:left="440"/>
        <w:spacing w:after="0"/>
        <w:tabs>
          <w:tab w:leader="none" w:pos="96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4"/>
          <w:szCs w:val="14"/>
          <w:color w:val="auto"/>
        </w:rPr>
        <w:t>Intentionally Omitted.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11.10 Restricted Payments. Except as expressly permitted by this Agreement,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not (a) make any distribution to any of its shareholders, (b) purchase or redeem any of its capital stock interests or other equity interests or any warrants, options or other rights in respect thereof, (c) pay any management fees or similar fees to any of its shareholders or any Affiliate thereof which is not a Wholly-Owned Subsidiary of the Company, or (d) set aside funds for any of the foregoing; provided, however, that the Company may make loans or advances to</w:t>
      </w:r>
    </w:p>
    <w:p>
      <w:pPr>
        <w:ind w:left="980"/>
        <w:spacing w:after="0" w:line="233" w:lineRule="auto"/>
        <w:tabs>
          <w:tab w:leader="none" w:pos="18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shareholders, officers or directors in an aggregate amount at any time outstanding not to exceed $1,000,000.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11.11 Mergers, Consolidations, Sales. Not, and not permit any Subsidiary</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 be a party to any merger or consolidation, or purchase or otherwise acquire all or substantially all of the assets or any stock of any class of, or any partnership, membership, equity or joint venture interest in, any other Person if such Person is not engaged in the same line of business as the Company, or in instances where such Person(s) are in the same business as the Company, in an amount not to exceed $25,000,000 in the aggregate per annum, or sell, transfer, convey or lease all or any substantial part of its assets, or sell or assign with or without recourse any receivables, except for (a) any such merger, consolidation, sale, transfer, conveyance, lease or assignment of or by any Wholly-Owned Subsidiary into the Company or into, with or to any other Wholly-Owned Subsidiary; (b) any such purchase or other acquisition by the Company or any Wholly-Owned Subsidiary of the assets or stock of any Wholly-Owned Subsidiary (subject to the limits of this Agreement); and (c) sales and dispositions of assets (including the stock of Subsidiaries) for at least fair market value (as determined by the Board of Directors of the Company) so long as the net book value of all assets sold or otherwise disposed of in any Fiscal Year does not exceed $5,000,000 in the aggregate and such sales and dispositions are in the ordinary course of business and are consistent with past practices.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11.12 Modification of Organizational Documents. Not permit the Certificate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or Articles of Incorporation, By-Laws or other organizational documents of the Company or any Subsidiary to be amended or modified in any way which might reasonably be expected to materially adversely affect the interests of the Bank.</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11.13 Use of Proceeds. Use the proceeds of the Loans solely for the</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short-term working capital requirements of the Company, to refinance the Debt to be Repaid, for Capital Expenditures (subject to the limits of Section 11.6.4),</w:t>
      </w:r>
    </w:p>
    <w:p>
      <w:pPr>
        <w:ind w:left="544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to repurchase common stock of the Company (subject to the limits of Section</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11.28),or for acquisitions of companies in the same business of the Company</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the limits of Section 11.11); and not use or permit any proceeds of</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any Loan to be used, either directly or indirectly, for the purpose, whether immediate, incidental or ultimate, of "purchasing or carrying" any Margin Stock.</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11.14 Further Assurances. Take such actions as are necessary or as the Bank</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may reasonably request from time to time (including the execution and delivery of guaranties, security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82" w:name="page83"/>
    <w:bookmarkEnd w:id="82"/>
    <w:p>
      <w:pPr>
        <w:ind w:right="3239"/>
        <w:spacing w:after="0" w:line="236" w:lineRule="auto"/>
        <w:rPr>
          <w:sz w:val="20"/>
          <w:szCs w:val="20"/>
          <w:color w:val="auto"/>
        </w:rPr>
      </w:pPr>
      <w:r>
        <w:rPr>
          <w:rFonts w:ascii="Courier New" w:cs="Courier New" w:eastAsia="Courier New" w:hAnsi="Courier New"/>
          <w:sz w:val="15"/>
          <w:szCs w:val="15"/>
          <w:color w:val="auto"/>
        </w:rPr>
        <w:t>agreements, pledge agreements, mortgages, deeds of trust, financing statements and other documents, the filing or recording of any of the foregoing, and the delivery of stock certificates and other collateral with respect to which perfection is obtained by possession) to ensure that the Obligations are secured by a first priority perfected security interest in the Collateral in favor of the Bank.</w:t>
      </w:r>
    </w:p>
    <w:p>
      <w:pPr>
        <w:spacing w:after="0" w:line="168" w:lineRule="exact"/>
        <w:rPr>
          <w:sz w:val="20"/>
          <w:szCs w:val="20"/>
          <w:color w:val="auto"/>
        </w:rPr>
      </w:pPr>
    </w:p>
    <w:p>
      <w:pPr>
        <w:jc w:val="right"/>
        <w:ind w:right="3239"/>
        <w:spacing w:after="0"/>
        <w:tabs>
          <w:tab w:leader="none" w:pos="5580" w:val="left"/>
        </w:tabs>
        <w:rPr>
          <w:sz w:val="20"/>
          <w:szCs w:val="20"/>
          <w:color w:val="auto"/>
        </w:rPr>
      </w:pPr>
      <w:r>
        <w:rPr>
          <w:rFonts w:ascii="Courier New" w:cs="Courier New" w:eastAsia="Courier New" w:hAnsi="Courier New"/>
          <w:sz w:val="15"/>
          <w:szCs w:val="15"/>
          <w:color w:val="auto"/>
        </w:rPr>
        <w:t>11.15</w:t>
      </w:r>
      <w:r>
        <w:rPr>
          <w:sz w:val="20"/>
          <w:szCs w:val="20"/>
          <w:color w:val="auto"/>
        </w:rPr>
        <w:tab/>
      </w:r>
      <w:r>
        <w:rPr>
          <w:rFonts w:ascii="Courier New" w:cs="Courier New" w:eastAsia="Courier New" w:hAnsi="Courier New"/>
          <w:sz w:val="14"/>
          <w:szCs w:val="14"/>
          <w:color w:val="auto"/>
        </w:rPr>
        <w:t>Transactions with Affiliates. Not, and not permit any Subsidiary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to, enter into, or cause, suffer or permit to exist any transaction, arrangement or contract with any of its Affiliates (other than the Company and its Subsidiaries) which is on terms that are less favorable to the Company or such Subsidiary than are obtainable from any Person which is not such an Affiliate.</w:t>
      </w:r>
    </w:p>
    <w:p>
      <w:pPr>
        <w:spacing w:after="0" w:line="158"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11.16</w:t>
      </w:r>
      <w:r>
        <w:rPr>
          <w:sz w:val="20"/>
          <w:szCs w:val="20"/>
          <w:color w:val="auto"/>
        </w:rPr>
        <w:tab/>
      </w:r>
      <w:r>
        <w:rPr>
          <w:rFonts w:ascii="Courier New" w:cs="Courier New" w:eastAsia="Courier New" w:hAnsi="Courier New"/>
          <w:sz w:val="14"/>
          <w:szCs w:val="14"/>
          <w:color w:val="auto"/>
        </w:rPr>
        <w:t>Employee Benefit Plans. Maintain, and cause each Subsidiary to</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maintain, each Pension Plan in substantial compliance with all applicable requirements of law and regulations.</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11.17</w:t>
      </w:r>
      <w:r>
        <w:rPr>
          <w:sz w:val="20"/>
          <w:szCs w:val="20"/>
          <w:color w:val="auto"/>
        </w:rPr>
        <w:tab/>
      </w:r>
      <w:r>
        <w:rPr>
          <w:rFonts w:ascii="Courier New" w:cs="Courier New" w:eastAsia="Courier New" w:hAnsi="Courier New"/>
          <w:sz w:val="14"/>
          <w:szCs w:val="14"/>
          <w:color w:val="auto"/>
        </w:rPr>
        <w:t>Environmental Matters.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3239" w:firstLine="609"/>
        <w:spacing w:after="0" w:line="255" w:lineRule="auto"/>
        <w:tabs>
          <w:tab w:leader="none" w:pos="17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Release or Disposal of Hazardous Substances shall occur or shall have occurred on any real property or any other assets of the Company or any Subsidiary, the Company shall, or shall cause the applicable Subsidiary to, cause the prompt containment and removal of such Hazardous Substances and the remediation of such real property or other assets as necessary to comply with all Environmental Laws and to preserve the value of such real property or other assets. Without limiting the generality of the foregoing, the Company shall, and shall cause each Subsidiary to, comply with any valid Federal or state judicial or administrative order requiring the performance at any real property of the Company or any Subsidiary of activities in response to the Release or threatened Release of a Hazardous Substance.</w:t>
      </w:r>
    </w:p>
    <w:p>
      <w:pPr>
        <w:spacing w:after="0" w:line="164" w:lineRule="exact"/>
        <w:rPr>
          <w:rFonts w:ascii="Courier New" w:cs="Courier New" w:eastAsia="Courier New" w:hAnsi="Courier New"/>
          <w:sz w:val="14"/>
          <w:szCs w:val="14"/>
          <w:color w:val="auto"/>
        </w:rPr>
      </w:pPr>
    </w:p>
    <w:p>
      <w:pPr>
        <w:ind w:left="800" w:right="3399" w:firstLine="609"/>
        <w:spacing w:after="0" w:line="236" w:lineRule="auto"/>
        <w:tabs>
          <w:tab w:leader="none" w:pos="17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transportation of "hazardous waste" as defined by RCRA is permitted by this Agreement, the Company shall, and shall cause its Subsidiaries to, dispose of such hazardous waste only at licensed disposal facilities operating in compliance with Environmental Laws.</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11.18</w:t>
      </w:r>
      <w:r>
        <w:rPr>
          <w:sz w:val="20"/>
          <w:szCs w:val="20"/>
          <w:color w:val="auto"/>
        </w:rPr>
        <w:tab/>
      </w:r>
      <w:r>
        <w:rPr>
          <w:rFonts w:ascii="Courier New" w:cs="Courier New" w:eastAsia="Courier New" w:hAnsi="Courier New"/>
          <w:sz w:val="14"/>
          <w:szCs w:val="14"/>
          <w:color w:val="auto"/>
        </w:rPr>
        <w:t>Unconditional Purchase Obligations. Not, and not permit any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Subsidiary to, enter into or be a party to any contract for the purchase of materials, supplies or other property or services if such contract requires that payment be made by it regardless of whether delivery is ever made of such materials, supplies or other property or services; provided, however, that this</w:t>
      </w:r>
    </w:p>
    <w:p>
      <w:pPr>
        <w:ind w:left="4480"/>
        <w:spacing w:after="0" w:line="232" w:lineRule="auto"/>
        <w:tabs>
          <w:tab w:leader="none" w:pos="53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Section shall not prohibit the Company from entering into forward commitments for fuel purchases in the ordinary course of business.</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11.19</w:t>
      </w:r>
      <w:r>
        <w:rPr>
          <w:sz w:val="20"/>
          <w:szCs w:val="20"/>
          <w:color w:val="auto"/>
        </w:rPr>
        <w:tab/>
      </w:r>
      <w:r>
        <w:rPr>
          <w:rFonts w:ascii="Courier New" w:cs="Courier New" w:eastAsia="Courier New" w:hAnsi="Courier New"/>
          <w:sz w:val="14"/>
          <w:szCs w:val="14"/>
          <w:color w:val="auto"/>
        </w:rPr>
        <w:t>Inconsistent Agreements. Not, and not permit any Subsidiary to,</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enter into any agreement containing any provision which would (a) be violated or breached by any borrowing by the Company hereunder or by the performance by the Company or any Subsidiary of any of its obligations hereunder or under any other Loan Document, (b) prohibit the Company or 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83" w:name="page84"/>
    <w:bookmarkEnd w:id="83"/>
    <w:p>
      <w:pPr>
        <w:ind w:right="3319"/>
        <w:spacing w:after="0" w:line="255" w:lineRule="auto"/>
        <w:rPr>
          <w:sz w:val="20"/>
          <w:szCs w:val="20"/>
          <w:color w:val="auto"/>
        </w:rPr>
      </w:pPr>
      <w:r>
        <w:rPr>
          <w:rFonts w:ascii="Courier New" w:cs="Courier New" w:eastAsia="Courier New" w:hAnsi="Courier New"/>
          <w:sz w:val="14"/>
          <w:szCs w:val="14"/>
          <w:color w:val="auto"/>
        </w:rPr>
        <w:t>Subsidiary from granting to the Bank, a Lien on any of its assets or (c) create or permit to exist or become effective any encumbrance or restriction on the ability of any Subsidiary to (i) pay dividends or make other distributions to the Company or any other applicable Subsidiary, or pay any Debt owed to the Company or any other Subsidiary, (ii) make loans or advances to the Company or (iii) transfer any of its assets or properties to the Company.</w:t>
      </w:r>
    </w:p>
    <w:p>
      <w:pPr>
        <w:spacing w:after="0" w:line="160"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11.20</w:t>
      </w:r>
      <w:r>
        <w:rPr>
          <w:sz w:val="20"/>
          <w:szCs w:val="20"/>
          <w:color w:val="auto"/>
        </w:rPr>
        <w:tab/>
      </w:r>
      <w:r>
        <w:rPr>
          <w:rFonts w:ascii="Courier New" w:cs="Courier New" w:eastAsia="Courier New" w:hAnsi="Courier New"/>
          <w:sz w:val="14"/>
          <w:szCs w:val="14"/>
          <w:color w:val="auto"/>
        </w:rPr>
        <w:t>Business Activities; Name; Change of Control.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3239" w:firstLine="609"/>
        <w:spacing w:after="0" w:line="235" w:lineRule="auto"/>
        <w:tabs>
          <w:tab w:leader="none" w:pos="176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and not permit any Subsidiary to, engage in any line of business other than the businesses engaged in on the date hereof and businesses reasonably related thereto.</w:t>
      </w:r>
    </w:p>
    <w:p>
      <w:pPr>
        <w:spacing w:after="0" w:line="173" w:lineRule="exact"/>
        <w:rPr>
          <w:rFonts w:ascii="Courier New" w:cs="Courier New" w:eastAsia="Courier New" w:hAnsi="Courier New"/>
          <w:sz w:val="15"/>
          <w:szCs w:val="15"/>
          <w:color w:val="auto"/>
        </w:rPr>
      </w:pPr>
    </w:p>
    <w:p>
      <w:pPr>
        <w:ind w:left="800" w:right="3239" w:firstLine="609"/>
        <w:spacing w:after="0" w:line="235" w:lineRule="auto"/>
        <w:tabs>
          <w:tab w:leader="none" w:pos="176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and not permit any Material Subsidiary to, change its legal name except upon thirty (30) days' prior written notice to the Bank.</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11.21</w:t>
      </w:r>
      <w:r>
        <w:rPr>
          <w:sz w:val="20"/>
          <w:szCs w:val="20"/>
          <w:color w:val="auto"/>
        </w:rPr>
        <w:tab/>
      </w:r>
      <w:r>
        <w:rPr>
          <w:rFonts w:ascii="Courier New" w:cs="Courier New" w:eastAsia="Courier New" w:hAnsi="Courier New"/>
          <w:sz w:val="14"/>
          <w:szCs w:val="14"/>
          <w:color w:val="auto"/>
        </w:rPr>
        <w:t>Investments.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11.21.1 Except as expressly set forth in this Agreement, not, and not permit any Subsidiary to, make or permit to exist any Investment in any other Person, except (without duplication) the following:</w:t>
      </w:r>
    </w:p>
    <w:p>
      <w:pPr>
        <w:spacing w:after="0" w:line="174" w:lineRule="exact"/>
        <w:rPr>
          <w:sz w:val="20"/>
          <w:szCs w:val="20"/>
          <w:color w:val="auto"/>
        </w:rPr>
      </w:pPr>
    </w:p>
    <w:p>
      <w:pPr>
        <w:ind w:left="800" w:right="3319" w:firstLine="609"/>
        <w:spacing w:after="0" w:line="235" w:lineRule="auto"/>
        <w:tabs>
          <w:tab w:leader="none" w:pos="18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by the Company to the capital of any of its Wholly-Owned Subsidiaries that are Guarantors, or by any such Subsidiary to the capital of any of its Wholly-Owned Subsidiaries that are Guarantors;</w:t>
      </w:r>
    </w:p>
    <w:p>
      <w:pPr>
        <w:spacing w:after="0" w:line="175" w:lineRule="exact"/>
        <w:rPr>
          <w:rFonts w:ascii="Courier New" w:cs="Courier New" w:eastAsia="Courier New" w:hAnsi="Courier New"/>
          <w:sz w:val="15"/>
          <w:szCs w:val="15"/>
          <w:color w:val="auto"/>
        </w:rPr>
      </w:pPr>
    </w:p>
    <w:p>
      <w:pPr>
        <w:ind w:left="800" w:right="3399" w:firstLine="609"/>
        <w:spacing w:after="0" w:line="235" w:lineRule="auto"/>
        <w:tabs>
          <w:tab w:leader="none" w:pos="18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business, Investments by the Company in any Subsidiary or by any Subsidiary in the Company, by way of intercompany loans, advances or guaranties, all to the extent permitted by Section 11.7;</w:t>
      </w:r>
    </w:p>
    <w:p>
      <w:pPr>
        <w:spacing w:after="0" w:line="2" w:lineRule="exact"/>
        <w:rPr>
          <w:rFonts w:ascii="Courier New" w:cs="Courier New" w:eastAsia="Courier New" w:hAnsi="Courier New"/>
          <w:sz w:val="15"/>
          <w:szCs w:val="15"/>
          <w:color w:val="auto"/>
        </w:rPr>
      </w:pP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00" w:right="3499" w:firstLine="609"/>
        <w:spacing w:after="0" w:line="235" w:lineRule="auto"/>
        <w:tabs>
          <w:tab w:leader="none" w:pos="18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Suretyship Liabilities not to exceed $100,000 in the aggregate at any one time outstanding (except as otherwise permitted hereunder);</w:t>
      </w:r>
    </w:p>
    <w:p>
      <w:pPr>
        <w:spacing w:after="0" w:line="167" w:lineRule="exact"/>
        <w:rPr>
          <w:rFonts w:ascii="Courier New" w:cs="Courier New" w:eastAsia="Courier New" w:hAnsi="Courier New"/>
          <w:sz w:val="15"/>
          <w:szCs w:val="15"/>
          <w:color w:val="auto"/>
        </w:rPr>
      </w:pPr>
    </w:p>
    <w:p>
      <w:pPr>
        <w:ind w:left="1840" w:hanging="431"/>
        <w:spacing w:after="0"/>
        <w:tabs>
          <w:tab w:leader="none" w:pos="18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 Investments;</w:t>
      </w:r>
    </w:p>
    <w:p>
      <w:pPr>
        <w:spacing w:after="0" w:line="172" w:lineRule="exact"/>
        <w:rPr>
          <w:rFonts w:ascii="Courier New" w:cs="Courier New" w:eastAsia="Courier New" w:hAnsi="Courier New"/>
          <w:sz w:val="15"/>
          <w:szCs w:val="15"/>
          <w:color w:val="auto"/>
        </w:rPr>
      </w:pPr>
    </w:p>
    <w:p>
      <w:pPr>
        <w:ind w:left="800" w:right="3319" w:firstLine="609"/>
        <w:spacing w:after="0" w:line="235" w:lineRule="auto"/>
        <w:tabs>
          <w:tab w:leader="none" w:pos="18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securities of account debtors received pursuant to any plan of reorganization or similar arrangement upon the bankruptcy or insolvency of such account debtors; and</w:t>
      </w:r>
    </w:p>
    <w:p>
      <w:pPr>
        <w:spacing w:after="0" w:line="167" w:lineRule="exact"/>
        <w:rPr>
          <w:rFonts w:ascii="Courier New" w:cs="Courier New" w:eastAsia="Courier New" w:hAnsi="Courier New"/>
          <w:sz w:val="15"/>
          <w:szCs w:val="15"/>
          <w:color w:val="auto"/>
        </w:rPr>
      </w:pPr>
    </w:p>
    <w:p>
      <w:pPr>
        <w:ind w:left="1840" w:hanging="431"/>
        <w:spacing w:after="0"/>
        <w:tabs>
          <w:tab w:leader="none" w:pos="18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listed on Schedule 11.21.</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11.21.2</w:t>
      </w:r>
      <w:r>
        <w:rPr>
          <w:sz w:val="20"/>
          <w:szCs w:val="20"/>
          <w:color w:val="auto"/>
        </w:rPr>
        <w:tab/>
      </w:r>
      <w:r>
        <w:rPr>
          <w:rFonts w:ascii="Courier New" w:cs="Courier New" w:eastAsia="Courier New" w:hAnsi="Courier New"/>
          <w:sz w:val="14"/>
          <w:szCs w:val="14"/>
          <w:color w:val="auto"/>
        </w:rPr>
        <w:t>Not, and not permit any subsidiary to guaranty any</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obligations or purchase surety bonds to secure or assume any indebtedness of (i) its Subsidiaries other than trade credit from suppliers in an aggregate amount not to exceed $15,000,000 per supplier at any one time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84" w:name="page85"/>
    <w:bookmarkEnd w:id="84"/>
    <w:p>
      <w:pPr>
        <w:ind w:right="3839"/>
        <w:spacing w:after="0" w:line="234" w:lineRule="auto"/>
        <w:rPr>
          <w:sz w:val="20"/>
          <w:szCs w:val="20"/>
          <w:color w:val="auto"/>
        </w:rPr>
      </w:pPr>
      <w:r>
        <w:rPr>
          <w:rFonts w:ascii="Courier New" w:cs="Courier New" w:eastAsia="Courier New" w:hAnsi="Courier New"/>
          <w:sz w:val="15"/>
          <w:szCs w:val="15"/>
          <w:color w:val="auto"/>
        </w:rPr>
        <w:t>outstanding, or (ii) third parties in an aggregate amount at any one time outstanding not to exceed $1,000,000.</w:t>
      </w:r>
    </w:p>
    <w:p>
      <w:pPr>
        <w:spacing w:after="0" w:line="167" w:lineRule="exact"/>
        <w:rPr>
          <w:sz w:val="20"/>
          <w:szCs w:val="20"/>
          <w:color w:val="auto"/>
        </w:rPr>
      </w:pPr>
    </w:p>
    <w:p>
      <w:pPr>
        <w:ind w:left="700"/>
        <w:spacing w:after="0"/>
        <w:tabs>
          <w:tab w:leader="none" w:pos="1660" w:val="left"/>
        </w:tabs>
        <w:rPr>
          <w:sz w:val="20"/>
          <w:szCs w:val="20"/>
          <w:color w:val="auto"/>
        </w:rPr>
      </w:pPr>
      <w:r>
        <w:rPr>
          <w:rFonts w:ascii="Courier New" w:cs="Courier New" w:eastAsia="Courier New" w:hAnsi="Courier New"/>
          <w:sz w:val="15"/>
          <w:szCs w:val="15"/>
          <w:color w:val="auto"/>
        </w:rPr>
        <w:t>11.21.3</w:t>
      </w:r>
      <w:r>
        <w:rPr>
          <w:sz w:val="20"/>
          <w:szCs w:val="20"/>
          <w:color w:val="auto"/>
        </w:rPr>
        <w:tab/>
      </w:r>
      <w:r>
        <w:rPr>
          <w:rFonts w:ascii="Courier New" w:cs="Courier New" w:eastAsia="Courier New" w:hAnsi="Courier New"/>
          <w:sz w:val="14"/>
          <w:szCs w:val="14"/>
          <w:color w:val="auto"/>
        </w:rPr>
        <w:t>Notwithstanding the foregoing provisions of this Section</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11.21, no Investment otherwise permitted hereunder shall be permitted to be made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immediately before or after giving effect thereto, any Event of Default or Unmatured Event of Default exists.</w:t>
      </w:r>
    </w:p>
    <w:p>
      <w:pPr>
        <w:spacing w:after="0" w:line="167" w:lineRule="exact"/>
        <w:rPr>
          <w:sz w:val="20"/>
          <w:szCs w:val="20"/>
          <w:color w:val="auto"/>
        </w:rPr>
      </w:pPr>
    </w:p>
    <w:p>
      <w:pPr>
        <w:ind w:left="700"/>
        <w:spacing w:after="0"/>
        <w:tabs>
          <w:tab w:leader="none" w:pos="1300" w:val="left"/>
          <w:tab w:leader="none" w:pos="2520" w:val="left"/>
        </w:tabs>
        <w:rPr>
          <w:sz w:val="20"/>
          <w:szCs w:val="20"/>
          <w:color w:val="auto"/>
        </w:rPr>
      </w:pPr>
      <w:r>
        <w:rPr>
          <w:rFonts w:ascii="Courier New" w:cs="Courier New" w:eastAsia="Courier New" w:hAnsi="Courier New"/>
          <w:sz w:val="15"/>
          <w:szCs w:val="15"/>
          <w:color w:val="auto"/>
        </w:rPr>
        <w:t>11.22</w:t>
        <w:tab/>
        <w:t>Fiscal Year.</w:t>
      </w:r>
      <w:r>
        <w:rPr>
          <w:sz w:val="20"/>
          <w:szCs w:val="20"/>
          <w:color w:val="auto"/>
        </w:rPr>
        <w:tab/>
      </w:r>
      <w:r>
        <w:rPr>
          <w:rFonts w:ascii="Courier New" w:cs="Courier New" w:eastAsia="Courier New" w:hAnsi="Courier New"/>
          <w:sz w:val="14"/>
          <w:szCs w:val="14"/>
          <w:color w:val="auto"/>
        </w:rPr>
        <w:t>Not change its Fiscal Year.</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11.23</w:t>
      </w:r>
      <w:r>
        <w:rPr>
          <w:sz w:val="20"/>
          <w:szCs w:val="20"/>
          <w:color w:val="auto"/>
        </w:rPr>
        <w:tab/>
      </w:r>
      <w:r>
        <w:rPr>
          <w:rFonts w:ascii="Courier New" w:cs="Courier New" w:eastAsia="Courier New" w:hAnsi="Courier New"/>
          <w:sz w:val="14"/>
          <w:szCs w:val="14"/>
          <w:color w:val="auto"/>
        </w:rPr>
        <w:t>Cancellation of Debt. Not, and not permit any Subsidiary to,</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cancel any claim or debt owing to it, except for reasonable consideration or in the ordinary course of business.</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11.24</w:t>
      </w:r>
      <w:r>
        <w:rPr>
          <w:sz w:val="20"/>
          <w:szCs w:val="20"/>
          <w:color w:val="auto"/>
        </w:rPr>
        <w:tab/>
      </w:r>
      <w:r>
        <w:rPr>
          <w:rFonts w:ascii="Courier New" w:cs="Courier New" w:eastAsia="Courier New" w:hAnsi="Courier New"/>
          <w:sz w:val="14"/>
          <w:szCs w:val="14"/>
          <w:color w:val="auto"/>
        </w:rPr>
        <w:t>Intentionally omitted.</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11.25</w:t>
      </w:r>
      <w:r>
        <w:rPr>
          <w:sz w:val="20"/>
          <w:szCs w:val="20"/>
          <w:color w:val="auto"/>
        </w:rPr>
        <w:tab/>
      </w:r>
      <w:r>
        <w:rPr>
          <w:rFonts w:ascii="Courier New" w:cs="Courier New" w:eastAsia="Courier New" w:hAnsi="Courier New"/>
          <w:sz w:val="14"/>
          <w:szCs w:val="14"/>
          <w:color w:val="auto"/>
        </w:rPr>
        <w:t>Accounts. The Company shall maintain its primary investment</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accounts with the Bank, so long as the costs of Bank's products and services remain competitive. As soon as possible, but in no event later than one hundred and eighty (180) days after the Closing Date, the Company shall open and thereafter maintain its primary operating account with the Bank, so long as the Bank's products and services remain competitive.</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11.26</w:t>
      </w:r>
      <w:r>
        <w:rPr>
          <w:sz w:val="20"/>
          <w:szCs w:val="20"/>
          <w:color w:val="auto"/>
        </w:rPr>
        <w:tab/>
      </w:r>
      <w:r>
        <w:rPr>
          <w:rFonts w:ascii="Courier New" w:cs="Courier New" w:eastAsia="Courier New" w:hAnsi="Courier New"/>
          <w:sz w:val="14"/>
          <w:szCs w:val="14"/>
          <w:color w:val="auto"/>
        </w:rPr>
        <w:t>New Subsidiaries. In the event of an acquisition or creation of</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any Domestic Subsidiary or Material Foreign Subsidiary, the Company shall deliver, or cause to be delivered as the case may be, to the Bank within thirty</w:t>
      </w:r>
    </w:p>
    <w:p>
      <w:pPr>
        <w:ind w:left="440" w:hanging="430"/>
        <w:spacing w:after="0" w:line="231" w:lineRule="auto"/>
        <w:tabs>
          <w:tab w:leader="none" w:pos="4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(provided, in the case of a Material Foreign Subsidiary, such time</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period shall be extended to sixty (60) days with regards to (b), (c) and (d)</w:t>
      </w:r>
    </w:p>
    <w:p>
      <w:pPr>
        <w:spacing w:after="0" w:line="237" w:lineRule="auto"/>
        <w:rPr>
          <w:sz w:val="20"/>
          <w:szCs w:val="20"/>
          <w:color w:val="auto"/>
        </w:rPr>
      </w:pPr>
      <w:r>
        <w:rPr>
          <w:rFonts w:ascii="Courier New" w:cs="Courier New" w:eastAsia="Courier New" w:hAnsi="Courier New"/>
          <w:sz w:val="15"/>
          <w:szCs w:val="15"/>
          <w:color w:val="auto"/>
        </w:rPr>
        <w:t>below) of such acquisition or creation:</w:t>
      </w:r>
    </w:p>
    <w:p>
      <w:pPr>
        <w:spacing w:after="0" w:line="173" w:lineRule="exact"/>
        <w:rPr>
          <w:sz w:val="20"/>
          <w:szCs w:val="20"/>
          <w:color w:val="auto"/>
        </w:rPr>
      </w:pPr>
    </w:p>
    <w:p>
      <w:pPr>
        <w:ind w:left="1240" w:right="3319" w:hanging="531"/>
        <w:spacing w:after="0" w:line="234" w:lineRule="auto"/>
        <w:tabs>
          <w:tab w:leader="none" w:pos="12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Domestic Subsidiary, a Guaranty executed by such Subsidiary substantially in the form of Exhibit D;</w:t>
      </w:r>
    </w:p>
    <w:p>
      <w:pPr>
        <w:ind w:left="474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right="3319" w:hanging="531"/>
        <w:spacing w:after="0" w:line="254" w:lineRule="auto"/>
        <w:tabs>
          <w:tab w:leader="none" w:pos="12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Material Foreign Subsidiary, a Pledge Agreement substantially in the form of Exhibit C executed by the Company or</w:t>
      </w:r>
    </w:p>
    <w:p>
      <w:pPr>
        <w:ind w:left="378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239"/>
        <w:spacing w:after="0" w:line="255" w:lineRule="auto"/>
        <w:rPr>
          <w:sz w:val="20"/>
          <w:szCs w:val="20"/>
          <w:color w:val="auto"/>
        </w:rPr>
      </w:pPr>
      <w:r>
        <w:rPr>
          <w:rFonts w:ascii="Courier New" w:cs="Courier New" w:eastAsia="Courier New" w:hAnsi="Courier New"/>
          <w:sz w:val="14"/>
          <w:szCs w:val="14"/>
          <w:color w:val="auto"/>
        </w:rPr>
        <w:t>a Subsidiary, as applicable, (unless, in Bank's sole discretion, such Pledge Agreement is not required as the Collateral to be pledged thereby is already covered by an existing Pledge Agreement) together with (x) stock certificates or other appropriate evidence of ownership representing sixty-five percent (65%) of the voting stock of such Material Foreign Subsidiary, (y) duly executed stock powers of assignment or stock transfer forms in blank affixed thereto and (z) such other documents as Bank may request including UCC-1 financing statements;</w:t>
      </w:r>
    </w:p>
    <w:p>
      <w:pPr>
        <w:spacing w:after="0" w:line="165" w:lineRule="exact"/>
        <w:rPr>
          <w:sz w:val="20"/>
          <w:szCs w:val="20"/>
          <w:color w:val="auto"/>
        </w:rPr>
      </w:pPr>
    </w:p>
    <w:p>
      <w:pPr>
        <w:ind w:left="1240" w:right="3319" w:hanging="531"/>
        <w:spacing w:after="0" w:line="235" w:lineRule="auto"/>
        <w:tabs>
          <w:tab w:leader="none" w:pos="12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to such Material Foreign Subsidiary and the Company or a Subsidiary, as applicable, in form and substance acceptable to Bank;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3" w:right="1440" w:bottom="1440" w:gutter="0" w:footer="0" w:header="0"/>
        </w:sectPr>
      </w:pPr>
    </w:p>
    <w:bookmarkStart w:id="85" w:name="page86"/>
    <w:bookmarkEnd w:id="85"/>
    <w:p>
      <w:pPr>
        <w:ind w:left="1240" w:right="3239" w:hanging="531"/>
        <w:spacing w:after="0" w:line="236" w:lineRule="auto"/>
        <w:tabs>
          <w:tab w:leader="none" w:pos="12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current entity documents, including articles of incorporation or organization, By-laws, operating or partnership agreements, certificates of good standing or active status, resolutions of the Board of Directors, members, managers, partners or appropriate committees thereof (each as applicable) of such Material Foreign Subsidiary.</w:t>
      </w:r>
    </w:p>
    <w:p>
      <w:pPr>
        <w:spacing w:after="0" w:line="168"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11.27</w:t>
      </w:r>
      <w:r>
        <w:rPr>
          <w:sz w:val="20"/>
          <w:szCs w:val="20"/>
          <w:color w:val="auto"/>
        </w:rPr>
        <w:tab/>
      </w:r>
      <w:r>
        <w:rPr>
          <w:rFonts w:ascii="Courier New" w:cs="Courier New" w:eastAsia="Courier New" w:hAnsi="Courier New"/>
          <w:sz w:val="14"/>
          <w:szCs w:val="14"/>
          <w:color w:val="auto"/>
        </w:rPr>
        <w:t>Sale and Leaseback Transactions. Not, and not permit any</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Subsidiary to, enter into asset sale and leaseback transactions; provided,</w:t>
      </w:r>
    </w:p>
    <w:p>
      <w:pPr>
        <w:ind w:left="57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Company and Subsidiaries may enter into such transactions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an aggregate amount not to exceed $5,000,000 in any Fiscal Year.</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11.28</w:t>
      </w:r>
      <w:r>
        <w:rPr>
          <w:sz w:val="20"/>
          <w:szCs w:val="20"/>
          <w:color w:val="auto"/>
        </w:rPr>
        <w:tab/>
      </w:r>
      <w:r>
        <w:rPr>
          <w:rFonts w:ascii="Courier New" w:cs="Courier New" w:eastAsia="Courier New" w:hAnsi="Courier New"/>
          <w:sz w:val="14"/>
          <w:szCs w:val="14"/>
          <w:color w:val="auto"/>
        </w:rPr>
        <w:t>Repurchase Stock. Not, and not permit any Subsidiary to, purchase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common stock of the Company; provided, however, that the Company and</w:t>
      </w:r>
    </w:p>
    <w:p>
      <w:pPr>
        <w:ind w:left="2540"/>
        <w:spacing w:after="0" w:line="237" w:lineRule="auto"/>
        <w:tabs>
          <w:tab w:leader="none" w:pos="34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Subsidiaries may purchase common stock of the Company in an aggregate amount not to exceed $10,000,000.</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12 EFFECTIVENESS; CONDITIONS OF LENDING, ETC.</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obligation of the Bank to make Loans and to issue Letters of Credit is subject to the following conditions precedent:</w:t>
      </w:r>
    </w:p>
    <w:p>
      <w:pPr>
        <w:spacing w:after="0" w:line="167"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Initial Credit Extension. The obligation of the Bank to make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available the initial Loan and issue any initial Letters of Credit is, in addition to the conditions precedent specified in Section 12.2, subject to the</w:t>
      </w:r>
    </w:p>
    <w:p>
      <w:pPr>
        <w:ind w:left="438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conditions precedent that (1) all Debt to be Repaid has been (or concurrently with the initial borrowing will be) paid in full, and that all agreements and instruments governing the Debt to be Repaid and that all Liens securing the Debt to be Repaid have been (or concurrently with the initial borrowing will be) terminated, (2) the Bank has received a counterpart copy of this Agreement executed by the Company and (3) the Bank shall have received all of the following, each duly executed and dated the Closing Date (or such earlier date as shall be satisfactory to the Bank), in form and substance satisfactory to the Bank (and the date on which all such conditions precedent have been satisfied or waived in writing by the Bank is called the "Closing Date"):</w:t>
      </w:r>
    </w:p>
    <w:p>
      <w:pPr>
        <w:ind w:left="3940"/>
        <w:spacing w:after="0" w:line="235"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920" w:val="left"/>
        </w:tabs>
        <w:rPr>
          <w:sz w:val="20"/>
          <w:szCs w:val="20"/>
          <w:color w:val="auto"/>
        </w:rPr>
      </w:pPr>
      <w:r>
        <w:rPr>
          <w:rFonts w:ascii="Courier New" w:cs="Courier New" w:eastAsia="Courier New" w:hAnsi="Courier New"/>
          <w:sz w:val="15"/>
          <w:szCs w:val="15"/>
          <w:color w:val="auto"/>
        </w:rPr>
        <w:t>12.1.1 Note.</w:t>
      </w:r>
      <w:r>
        <w:rPr>
          <w:sz w:val="20"/>
          <w:szCs w:val="20"/>
          <w:color w:val="auto"/>
        </w:rPr>
        <w:tab/>
      </w:r>
      <w:r>
        <w:rPr>
          <w:rFonts w:ascii="Courier New" w:cs="Courier New" w:eastAsia="Courier New" w:hAnsi="Courier New"/>
          <w:sz w:val="14"/>
          <w:szCs w:val="14"/>
          <w:color w:val="auto"/>
        </w:rPr>
        <w:t>The Note executed by the Company.</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12.1.2 Resolutions. Certified copies of resolutions of the Board of</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Directors of the Company authorizing the execution, delivery and performance by the Company of this Agreement, the Note, the Pledge Agreement and the other Loan Documents to which the Company is a party; and certified copies of resolutions of the Board of Directors of each other Loan Party authorizing the execution, delivery and performance by such Loan Party of each Loan Document to which such entity is a party.</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12.1.3 Consents, etc. Certified copies of all documents evidencing any</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necessary corporate, limited liability company, partnership or other entity action, consents and governmental approvals (if any) required for the execution, delivery and performance by the Company and each other Loan Party of the documents referred to in Section 12.</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86" w:name="page87"/>
    <w:bookmarkEnd w:id="86"/>
    <w:p>
      <w:pPr>
        <w:ind w:left="700"/>
        <w:spacing w:after="0"/>
        <w:tabs>
          <w:tab w:leader="none" w:pos="1380" w:val="left"/>
        </w:tabs>
        <w:rPr>
          <w:sz w:val="20"/>
          <w:szCs w:val="20"/>
          <w:color w:val="auto"/>
        </w:rPr>
      </w:pPr>
      <w:r>
        <w:rPr>
          <w:rFonts w:ascii="Courier New" w:cs="Courier New" w:eastAsia="Courier New" w:hAnsi="Courier New"/>
          <w:sz w:val="15"/>
          <w:szCs w:val="15"/>
          <w:color w:val="auto"/>
        </w:rPr>
        <w:t>12.1.4</w:t>
      </w:r>
      <w:r>
        <w:rPr>
          <w:sz w:val="20"/>
          <w:szCs w:val="20"/>
          <w:color w:val="auto"/>
        </w:rPr>
        <w:tab/>
      </w:r>
      <w:r>
        <w:rPr>
          <w:rFonts w:ascii="Courier New" w:cs="Courier New" w:eastAsia="Courier New" w:hAnsi="Courier New"/>
          <w:sz w:val="14"/>
          <w:szCs w:val="14"/>
          <w:color w:val="auto"/>
        </w:rPr>
        <w:t>Incumbency and Signature Certificates. A certificate of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Secretary or an Assistant Secretary (or other appropriate representative) of each Loan Party certifying the names of the officer or officers of such entity authorized to sign the Loan Documents to which such entity is a party, together with a sample of the true signature of each such officer (it being understood that the Bank may conclusively rely on each such certificate until formally advised by a like certificate of any changes therein).</w:t>
      </w:r>
    </w:p>
    <w:p>
      <w:pPr>
        <w:spacing w:after="0" w:line="160"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12.1.5</w:t>
      </w:r>
      <w:r>
        <w:rPr>
          <w:sz w:val="20"/>
          <w:szCs w:val="20"/>
          <w:color w:val="auto"/>
        </w:rPr>
        <w:tab/>
      </w:r>
      <w:r>
        <w:rPr>
          <w:rFonts w:ascii="Courier New" w:cs="Courier New" w:eastAsia="Courier New" w:hAnsi="Courier New"/>
          <w:sz w:val="14"/>
          <w:szCs w:val="14"/>
          <w:color w:val="auto"/>
        </w:rPr>
        <w:t>Pledge Agreement. A counterpart of each Pledge Agreement,</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executed by the Company or a Subsidiary, as applicable.</w:t>
      </w:r>
    </w:p>
    <w:p>
      <w:pPr>
        <w:spacing w:after="0" w:line="335"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12.1.6</w:t>
      </w:r>
      <w:r>
        <w:rPr>
          <w:sz w:val="20"/>
          <w:szCs w:val="20"/>
          <w:color w:val="auto"/>
        </w:rPr>
        <w:tab/>
      </w:r>
      <w:r>
        <w:rPr>
          <w:rFonts w:ascii="Courier New" w:cs="Courier New" w:eastAsia="Courier New" w:hAnsi="Courier New"/>
          <w:sz w:val="14"/>
          <w:szCs w:val="14"/>
          <w:color w:val="auto"/>
        </w:rPr>
        <w:t>Opinions of Counsel. The opinion of Shutts &amp; Bowen, LLP</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substantially in the form of Exhibit E, and such other opinions of counsel as</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Bank may reasonably require including the opinion of legal counsel, acceptable by the Bank, from an attorney licensed to practice in each country where such Material Foreign Subsidiaries whose stock or other securities are being pledged pursuant to any Pledge Agreement are organized.</w:t>
      </w:r>
    </w:p>
    <w:p>
      <w:pPr>
        <w:spacing w:after="0" w:line="158"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12.1.7</w:t>
      </w:r>
      <w:r>
        <w:rPr>
          <w:sz w:val="20"/>
          <w:szCs w:val="20"/>
          <w:color w:val="auto"/>
        </w:rPr>
        <w:tab/>
      </w:r>
      <w:r>
        <w:rPr>
          <w:rFonts w:ascii="Courier New" w:cs="Courier New" w:eastAsia="Courier New" w:hAnsi="Courier New"/>
          <w:sz w:val="14"/>
          <w:szCs w:val="14"/>
          <w:color w:val="auto"/>
        </w:rPr>
        <w:t>Insurance. Evidence satisfactory to the Bank of the existence of</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required to be maintained pursuant to Section 11.3(b), together with</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evidence that the Bank has been named as a lender's loss payee and an additional insured on all related insurance policies.</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12.1.8</w:t>
      </w:r>
      <w:r>
        <w:rPr>
          <w:sz w:val="20"/>
          <w:szCs w:val="20"/>
          <w:color w:val="auto"/>
        </w:rPr>
        <w:tab/>
      </w:r>
      <w:r>
        <w:rPr>
          <w:rFonts w:ascii="Courier New" w:cs="Courier New" w:eastAsia="Courier New" w:hAnsi="Courier New"/>
          <w:sz w:val="14"/>
          <w:szCs w:val="14"/>
          <w:color w:val="auto"/>
        </w:rPr>
        <w:t>Payment of Fees. Evidence of payment by the Company of all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and unpaid fees (including fees under Section 5), costs and expenses to</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the extent due and payable on the Closing Date, including any documentary stamp taxes and intangible taxes, together with all Attorney Costs of the Bank to the extent invoiced prior to the Closing Date, plus such additional amounts of</w:t>
      </w:r>
    </w:p>
    <w:p>
      <w:pPr>
        <w:ind w:left="37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Attorney Costs as shall constitute the Bank's reasonable estimate of Attorney Costs incurred or to be incurred by the Bank through the closing proceedings; provided that in the absence of unforeseen circumstances or prolonged</w:t>
      </w:r>
    </w:p>
    <w:p>
      <w:pPr>
        <w:spacing w:after="0" w:line="232"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negotiations as determined by the Bank in its reasonable discretion, such Attorney Costs, exclusive of disbursements, shall not exceed $25,000; provided,</w:t>
      </w:r>
    </w:p>
    <w:p>
      <w:pPr>
        <w:ind w:left="614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further that such estimate shall not thereafter preclude final settling of accounts between the Company and the Bank.</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12.1.9</w:t>
      </w:r>
      <w:r>
        <w:rPr>
          <w:sz w:val="20"/>
          <w:szCs w:val="20"/>
          <w:color w:val="auto"/>
        </w:rPr>
        <w:tab/>
      </w:r>
      <w:r>
        <w:rPr>
          <w:rFonts w:ascii="Courier New" w:cs="Courier New" w:eastAsia="Courier New" w:hAnsi="Courier New"/>
          <w:sz w:val="14"/>
          <w:szCs w:val="14"/>
          <w:color w:val="auto"/>
        </w:rPr>
        <w:t>Solvency Certificate, Certificate of No Material Adverse Change.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3239" w:firstLine="10"/>
        <w:spacing w:after="0" w:line="254" w:lineRule="auto"/>
        <w:tabs>
          <w:tab w:leader="none" w:pos="3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No Material Adverse Change, substantially in the form of Exhibit G, executed by the Chief Executive Officer of the Company, (ii) Solvency</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Certificates, substantially in the form of Exhibit H, executed by the Chief</w:t>
      </w:r>
    </w:p>
    <w:p>
      <w:pPr>
        <w:ind w:left="37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Financial Officer of each Guarantor, and (iii) such additional certificates as Bank may from time to time require.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12.1.10 Search Results; Lien Terminations. Certified copies of Uniform</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Commercial Code Requests for Information or Copies (Form UCC-11), or a similar search report certified by a party acceptable to the Bank, dated a date reasonably near to the Closing Date, listing all effective financing statements which name the Company and each Subsidiary (under their present names and any previous names or trade names) as debtors, together with (i) copies of such financing statements, (ii) executed copies of proper Uniform Commercial Code Form UCC 3 termination statements, if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87" w:name="page88"/>
    <w:bookmarkEnd w:id="87"/>
    <w:p>
      <w:pPr>
        <w:ind w:right="3319"/>
        <w:spacing w:after="0" w:line="254" w:lineRule="auto"/>
        <w:rPr>
          <w:sz w:val="20"/>
          <w:szCs w:val="20"/>
          <w:color w:val="auto"/>
        </w:rPr>
      </w:pPr>
      <w:r>
        <w:rPr>
          <w:rFonts w:ascii="Courier New" w:cs="Courier New" w:eastAsia="Courier New" w:hAnsi="Courier New"/>
          <w:sz w:val="14"/>
          <w:szCs w:val="14"/>
          <w:color w:val="auto"/>
        </w:rPr>
        <w:t>any, necessary to release all Liens and other rights of any Person in any property or rights of the Company or any Subsidiary including in any Collateral described in the Collateral Documents, previously granted by any Person (other than Liens permitted by Section 11.8) and (iii) such other Uniform Commercial</w:t>
      </w:r>
    </w:p>
    <w:p>
      <w:pPr>
        <w:ind w:left="2100"/>
        <w:spacing w:after="0" w:line="232"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Code Form UCC 3 termination statements as the Bank may reasonably request.</w:t>
      </w:r>
    </w:p>
    <w:p>
      <w:pPr>
        <w:spacing w:after="0" w:line="167"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12.1.11</w:t>
      </w:r>
      <w:r>
        <w:rPr>
          <w:sz w:val="20"/>
          <w:szCs w:val="20"/>
          <w:color w:val="auto"/>
        </w:rPr>
        <w:tab/>
      </w:r>
      <w:r>
        <w:rPr>
          <w:rFonts w:ascii="Courier New" w:cs="Courier New" w:eastAsia="Courier New" w:hAnsi="Courier New"/>
          <w:sz w:val="14"/>
          <w:szCs w:val="14"/>
          <w:color w:val="auto"/>
        </w:rPr>
        <w:t>Filings, Registrations and Recordings. The Bank shall have</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received each document (including Uniform Commercial Code financing statements) required by the Collateral Documents or under law or reasonably requested by the Bank to be filed, registered or recorded in order to create in favor of the Bank, a perfected Lien in the Collateral described therein, prior and superior to any other Person, in proper form for filing, registration or recording.</w:t>
      </w:r>
    </w:p>
    <w:p>
      <w:pPr>
        <w:spacing w:after="0" w:line="157"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12.1.12</w:t>
      </w:r>
      <w:r>
        <w:rPr>
          <w:sz w:val="20"/>
          <w:szCs w:val="20"/>
          <w:color w:val="auto"/>
        </w:rPr>
        <w:tab/>
      </w:r>
      <w:r>
        <w:rPr>
          <w:rFonts w:ascii="Courier New" w:cs="Courier New" w:eastAsia="Courier New" w:hAnsi="Courier New"/>
          <w:sz w:val="14"/>
          <w:szCs w:val="14"/>
          <w:color w:val="auto"/>
        </w:rPr>
        <w:t>Closing Certificate. A certificate signed by a vice president</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of the Company dated as of the Closing Date, affirming the matters set forth in Section 12.2.1 as of the Closing Date.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12.1.13</w:t>
      </w:r>
      <w:r>
        <w:rPr>
          <w:sz w:val="20"/>
          <w:szCs w:val="20"/>
          <w:color w:val="auto"/>
        </w:rPr>
        <w:tab/>
      </w:r>
      <w:r>
        <w:rPr>
          <w:rFonts w:ascii="Courier New" w:cs="Courier New" w:eastAsia="Courier New" w:hAnsi="Courier New"/>
          <w:sz w:val="14"/>
          <w:szCs w:val="14"/>
          <w:color w:val="auto"/>
        </w:rPr>
        <w:t>Governmental Approvals. All governmental and third party</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approvals, if any, necessary in connection with the financings contemplated herein and the continuing operations of the Company and its Subsidiaries shall have been obtained on terms reasonably satisfactory to the Bank and shall be in full force and effect.</w:t>
      </w:r>
    </w:p>
    <w:p>
      <w:pPr>
        <w:spacing w:after="0" w:line="169"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12.1.14</w:t>
      </w:r>
      <w:r>
        <w:rPr>
          <w:sz w:val="20"/>
          <w:szCs w:val="20"/>
          <w:color w:val="auto"/>
        </w:rPr>
        <w:tab/>
      </w:r>
      <w:r>
        <w:rPr>
          <w:rFonts w:ascii="Courier New" w:cs="Courier New" w:eastAsia="Courier New" w:hAnsi="Courier New"/>
          <w:sz w:val="14"/>
          <w:szCs w:val="14"/>
          <w:color w:val="auto"/>
        </w:rPr>
        <w:t>Financial Statements. Copies of the consolidated financial</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statements of the Company for the Fiscal Quarter ended September 30, 2001, and such financial statements shall not disclose, in the judgment of the Bank, any material adverse change from what was reflected in the financial statements furnished to Bank prior to the date hereof.</w:t>
      </w:r>
    </w:p>
    <w:p>
      <w:pPr>
        <w:spacing w:after="0" w:line="169"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12.1.15</w:t>
      </w:r>
      <w:r>
        <w:rPr>
          <w:sz w:val="20"/>
          <w:szCs w:val="20"/>
          <w:color w:val="auto"/>
        </w:rPr>
        <w:tab/>
      </w:r>
      <w:r>
        <w:rPr>
          <w:rFonts w:ascii="Courier New" w:cs="Courier New" w:eastAsia="Courier New" w:hAnsi="Courier New"/>
          <w:sz w:val="14"/>
          <w:szCs w:val="14"/>
          <w:color w:val="auto"/>
        </w:rPr>
        <w:t>Guaranty. Counterpart copies of the Guaranty, executed by each</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of the Guarantors.</w:t>
      </w:r>
    </w:p>
    <w:p>
      <w:pPr>
        <w:spacing w:after="0" w:line="335"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12.1.16</w:t>
      </w:r>
      <w:r>
        <w:rPr>
          <w:sz w:val="20"/>
          <w:szCs w:val="20"/>
          <w:color w:val="auto"/>
        </w:rPr>
        <w:tab/>
      </w:r>
      <w:r>
        <w:rPr>
          <w:rFonts w:ascii="Courier New" w:cs="Courier New" w:eastAsia="Courier New" w:hAnsi="Courier New"/>
          <w:sz w:val="14"/>
          <w:szCs w:val="14"/>
          <w:color w:val="auto"/>
        </w:rPr>
        <w:t>Organizational Documents. Such evidence as the Bank may</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reasonably require to verify that the Company and each Loan Party are duly organized or formed, validly existing, in good standing or with active status and qualified to engage in business (in each's jurisdiction of organization and each other jurisdiction where the failure to be so qualified would have a Material Adverse Effect), including certified copies of the Articles of Incorporation and Bylaws (or other similar entity documents, as applicable), certificates of good standing/active status and/or qualification to engage in business.</w:t>
      </w:r>
    </w:p>
    <w:p>
      <w:pPr>
        <w:spacing w:after="0" w:line="171"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12.1.17</w:t>
      </w:r>
      <w:r>
        <w:rPr>
          <w:sz w:val="20"/>
          <w:szCs w:val="20"/>
          <w:color w:val="auto"/>
        </w:rPr>
        <w:tab/>
      </w:r>
      <w:r>
        <w:rPr>
          <w:rFonts w:ascii="Courier New" w:cs="Courier New" w:eastAsia="Courier New" w:hAnsi="Courier New"/>
          <w:sz w:val="14"/>
          <w:szCs w:val="14"/>
          <w:color w:val="auto"/>
        </w:rPr>
        <w:t>Master Letter of Credit Agreement. A copy of the Master Letter</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of Credit Agreement, executed by the Company.</w:t>
      </w:r>
    </w:p>
    <w:p>
      <w:pPr>
        <w:spacing w:after="0" w:line="167"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12.1.18</w:t>
      </w:r>
      <w:r>
        <w:rPr>
          <w:sz w:val="20"/>
          <w:szCs w:val="20"/>
          <w:color w:val="auto"/>
        </w:rPr>
        <w:tab/>
      </w:r>
      <w:r>
        <w:rPr>
          <w:rFonts w:ascii="Courier New" w:cs="Courier New" w:eastAsia="Courier New" w:hAnsi="Courier New"/>
          <w:sz w:val="14"/>
          <w:szCs w:val="14"/>
          <w:color w:val="auto"/>
        </w:rPr>
        <w:t>Other. Such other documents as the Bank may reasonably request.</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22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Conditions. The obligation of the Bank to make each Loan and issue</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each Letter of Credit is subject to the following further conditions precedent that: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88" w:name="page89"/>
    <w:bookmarkEnd w:id="88"/>
    <w:p>
      <w:pPr>
        <w:ind w:left="700"/>
        <w:spacing w:after="0"/>
        <w:tabs>
          <w:tab w:leader="none" w:pos="1380" w:val="left"/>
        </w:tabs>
        <w:rPr>
          <w:sz w:val="20"/>
          <w:szCs w:val="20"/>
          <w:color w:val="auto"/>
        </w:rPr>
      </w:pPr>
      <w:r>
        <w:rPr>
          <w:rFonts w:ascii="Courier New" w:cs="Courier New" w:eastAsia="Courier New" w:hAnsi="Courier New"/>
          <w:sz w:val="15"/>
          <w:szCs w:val="15"/>
          <w:color w:val="auto"/>
        </w:rPr>
        <w:t>12.2.1</w:t>
      </w:r>
      <w:r>
        <w:rPr>
          <w:sz w:val="20"/>
          <w:szCs w:val="20"/>
          <w:color w:val="auto"/>
        </w:rPr>
        <w:tab/>
      </w:r>
      <w:r>
        <w:rPr>
          <w:rFonts w:ascii="Courier New" w:cs="Courier New" w:eastAsia="Courier New" w:hAnsi="Courier New"/>
          <w:sz w:val="14"/>
          <w:szCs w:val="14"/>
          <w:color w:val="auto"/>
        </w:rPr>
        <w:t>Compliance with Warranties, No Default, etc. Both before and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after giving effect to any borrowing and the issuance of any Letter of Credit the following statements shall be true and correct:</w:t>
      </w:r>
    </w:p>
    <w:p>
      <w:pPr>
        <w:spacing w:after="0" w:line="173" w:lineRule="exact"/>
        <w:rPr>
          <w:sz w:val="20"/>
          <w:szCs w:val="20"/>
          <w:color w:val="auto"/>
        </w:rPr>
      </w:pPr>
    </w:p>
    <w:p>
      <w:pPr>
        <w:ind w:left="700" w:right="3239" w:firstLine="709"/>
        <w:spacing w:after="0" w:line="255" w:lineRule="auto"/>
        <w:tabs>
          <w:tab w:leader="none" w:pos="183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and each Loan Party set forth in this Agreement and the other Loan Documents (including the material adverse change and litigation representations) shall be true and correct in all material respects with the same effect as if then made (except to the extent stated to relate to a specific earlier date, in which case such representations and warranties shall be true and correct as of such earlier date); and</w:t>
      </w:r>
    </w:p>
    <w:p>
      <w:pPr>
        <w:spacing w:after="0" w:line="166" w:lineRule="exact"/>
        <w:rPr>
          <w:rFonts w:ascii="Courier New" w:cs="Courier New" w:eastAsia="Courier New" w:hAnsi="Courier New"/>
          <w:sz w:val="14"/>
          <w:szCs w:val="14"/>
          <w:color w:val="auto"/>
        </w:rPr>
      </w:pPr>
    </w:p>
    <w:p>
      <w:pPr>
        <w:ind w:left="700" w:right="3579" w:firstLine="709"/>
        <w:spacing w:after="0" w:line="234" w:lineRule="auto"/>
        <w:tabs>
          <w:tab w:leader="none" w:pos="18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or Unmatured Event of Default shall have then occurred and be continuing.</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12.2.2</w:t>
      </w:r>
      <w:r>
        <w:rPr>
          <w:sz w:val="20"/>
          <w:szCs w:val="20"/>
          <w:color w:val="auto"/>
        </w:rPr>
        <w:tab/>
      </w:r>
      <w:r>
        <w:rPr>
          <w:rFonts w:ascii="Courier New" w:cs="Courier New" w:eastAsia="Courier New" w:hAnsi="Courier New"/>
          <w:sz w:val="14"/>
          <w:szCs w:val="14"/>
          <w:color w:val="auto"/>
        </w:rPr>
        <w:t>Confirmatory Certificate. If requested by the Bank, the Bank</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shall have received a certificate dated the date of such requested Loan or Letter of Credit and signed by a duly authorized representative of the Company as to the matters set out in Section 12.2.1 (it being understood that each</w:t>
      </w:r>
    </w:p>
    <w:p>
      <w:pPr>
        <w:ind w:left="254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request by the Company for the making of a Loan or issuance of a Letter of Credit shall be deemed to constitute a warranty by the Company that the conditions precedent set forth in Section 12.2.1 will be satisfied at the time</w:t>
      </w:r>
    </w:p>
    <w:p>
      <w:pPr>
        <w:ind w:left="29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of the making of such Loan or issuance of a Letter of Credit), together with such other documents as the Bank may reasonably request in support thereof.</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13 EVENTS OF DEFAULT AND THEIR EFFECT.</w:t>
      </w:r>
    </w:p>
    <w:p>
      <w:pPr>
        <w:spacing w:after="0" w:line="166"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Events of Default. Each of the following shall constitute an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Event of Default under this Agreement:</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13.1.1</w:t>
      </w:r>
      <w:r>
        <w:rPr>
          <w:sz w:val="20"/>
          <w:szCs w:val="20"/>
          <w:color w:val="auto"/>
        </w:rPr>
        <w:tab/>
      </w:r>
      <w:r>
        <w:rPr>
          <w:rFonts w:ascii="Courier New" w:cs="Courier New" w:eastAsia="Courier New" w:hAnsi="Courier New"/>
          <w:sz w:val="14"/>
          <w:szCs w:val="14"/>
          <w:color w:val="auto"/>
        </w:rPr>
        <w:t>Non-Payment of the Loans, etc. Default in the payment when due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of the principal of any Loan; or default, and continuance thereof for five days, in the payment when due of any interest, fee, Reimbursement Obligation with respect to any Letter of Credit or other amount payable by the Company hereunder or under any other Loan Document.</w:t>
      </w:r>
    </w:p>
    <w:p>
      <w:pPr>
        <w:spacing w:after="0" w:line="169"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13.1.2</w:t>
      </w:r>
      <w:r>
        <w:rPr>
          <w:sz w:val="20"/>
          <w:szCs w:val="20"/>
          <w:color w:val="auto"/>
        </w:rPr>
        <w:tab/>
      </w:r>
      <w:r>
        <w:rPr>
          <w:rFonts w:ascii="Courier New" w:cs="Courier New" w:eastAsia="Courier New" w:hAnsi="Courier New"/>
          <w:sz w:val="14"/>
          <w:szCs w:val="14"/>
          <w:color w:val="auto"/>
        </w:rPr>
        <w:t>Non-Payment or other Default of Other Debt. Any default shall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occur under the terms applicable to any Debt of the Company or any Subsidiary and such default shall (a) consist of the failure to pay such Debt when due, whether by acceleration or otherwise, or (b) accelerate the maturity of such Debt or permit the holder or holders thereof, or any trustee or agent for such holder or holders, to cause such Debt to become due and payable (or require the Company or any Subsidiary to purchase or redeem such Debt) prior to its expressed maturity. Any other default shall occur under the terms applicable to any Debt of the Company or any Subsidiary which might reasonably be expected to have a Material Adverse Effect.</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89" w:name="page90"/>
    <w:bookmarkEnd w:id="89"/>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13.1.3</w:t>
      </w:r>
      <w:r>
        <w:rPr>
          <w:sz w:val="20"/>
          <w:szCs w:val="20"/>
          <w:color w:val="auto"/>
        </w:rPr>
        <w:tab/>
      </w:r>
      <w:r>
        <w:rPr>
          <w:rFonts w:ascii="Courier New" w:cs="Courier New" w:eastAsia="Courier New" w:hAnsi="Courier New"/>
          <w:sz w:val="14"/>
          <w:szCs w:val="14"/>
          <w:color w:val="auto"/>
        </w:rPr>
        <w:t>Other Material Obligations. Default in the payment when due, or</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the performance or observance of, any material obligation of, or condition agreed to by, the Company or any Subsidiary with respect to any material purchase or lease of goods or services where such default, singly or in the aggregate with all other such defaults, might reasonably be expected to have a Material Adverse Effect.</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13.1.4</w:t>
      </w:r>
      <w:r>
        <w:rPr>
          <w:sz w:val="20"/>
          <w:szCs w:val="20"/>
          <w:color w:val="auto"/>
        </w:rPr>
        <w:tab/>
      </w:r>
      <w:r>
        <w:rPr>
          <w:rFonts w:ascii="Courier New" w:cs="Courier New" w:eastAsia="Courier New" w:hAnsi="Courier New"/>
          <w:sz w:val="14"/>
          <w:szCs w:val="14"/>
          <w:color w:val="auto"/>
        </w:rPr>
        <w:t>Bankruptcy, Insolvency, etc. The Company or any Subsidiary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becomes insolvent or generally fails to pay, or admits in writing its inability or refusal to pay, debts as they become due; or the Company or any Subsidiary applies for, consents to, or acquiesces in the appointment of a trustee, receiver or other custodian for the Company or such Subsidiary or any property thereof, or makes a general assignment for the benefit of creditors; or, in the absence of such application, consent or acquiescence, a trustee, receiver or other custodian is appointed for the Company or any Subsidiary or for a substantial part of the property of any thereof and is not discharged within 60 days; or any bankruptcy, reorganization, debt arrangement, or other case or proceeding under any bankruptcy or insolvency law, or any dissolution or liquidation proceeding, is commenced in respect of the Company or any Subsidiary, and if such case or proceeding is not commenced by the Company or such Subsidiary, it is consented to or acquiesced in by the Company or such Subsidiary, or remains for 30 days undismissed; or the Company or any Subsidiary takes any action to authorize, or in furtherance of, any of the foregoing.</w:t>
      </w:r>
    </w:p>
    <w:p>
      <w:pPr>
        <w:spacing w:after="0" w:line="15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13.1.5</w:t>
      </w:r>
      <w:r>
        <w:rPr>
          <w:sz w:val="20"/>
          <w:szCs w:val="20"/>
          <w:color w:val="auto"/>
        </w:rPr>
        <w:tab/>
      </w:r>
      <w:r>
        <w:rPr>
          <w:rFonts w:ascii="Courier New" w:cs="Courier New" w:eastAsia="Courier New" w:hAnsi="Courier New"/>
          <w:sz w:val="14"/>
          <w:szCs w:val="14"/>
          <w:color w:val="auto"/>
        </w:rPr>
        <w:t>Non-Compliance with Loan Documents. (a) Failure by the Company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comply with or to perform any covenant set forth in Sections 11.1.5(a), 11.5</w:t>
      </w:r>
    </w:p>
    <w:p>
      <w:pPr>
        <w:spacing w:after="0" w:line="3" w:lineRule="exact"/>
        <w:rPr>
          <w:sz w:val="20"/>
          <w:szCs w:val="20"/>
          <w:color w:val="auto"/>
        </w:rPr>
      </w:pPr>
    </w:p>
    <w:p>
      <w:pPr>
        <w:ind w:left="4820"/>
        <w:spacing w:after="0"/>
        <w:tabs>
          <w:tab w:leader="none" w:pos="65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11.15, and 11.20 through 11.22 and 11.26; or (b) failure by the Company</w:t>
      </w:r>
    </w:p>
    <w:p>
      <w:pPr>
        <w:spacing w:after="0" w:line="3" w:lineRule="exact"/>
        <w:rPr>
          <w:sz w:val="20"/>
          <w:szCs w:val="20"/>
          <w:color w:val="auto"/>
        </w:rPr>
      </w:pPr>
    </w:p>
    <w:p>
      <w:pPr>
        <w:ind w:left="700"/>
        <w:spacing w:after="0"/>
        <w:tabs>
          <w:tab w:leader="none" w:pos="1660" w:val="left"/>
          <w:tab w:leader="none" w:pos="2880" w:val="left"/>
          <w:tab w:leader="none" w:pos="3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or any Loan Party to comply with or to perform any other provision of this Agreement or any other Loan Document (and not constituting an Event of Default under any other provision of this Section 13) and continuance of such failure</w:t>
      </w:r>
    </w:p>
    <w:p>
      <w:pPr>
        <w:ind w:left="298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described in this Section 13.1.5, clause (b) for 30 days.</w:t>
      </w:r>
    </w:p>
    <w:p>
      <w:pPr>
        <w:ind w:left="15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13.1.6</w:t>
      </w:r>
      <w:r>
        <w:rPr>
          <w:sz w:val="20"/>
          <w:szCs w:val="20"/>
          <w:color w:val="auto"/>
        </w:rPr>
        <w:tab/>
      </w:r>
      <w:r>
        <w:rPr>
          <w:rFonts w:ascii="Courier New" w:cs="Courier New" w:eastAsia="Courier New" w:hAnsi="Courier New"/>
          <w:sz w:val="14"/>
          <w:szCs w:val="14"/>
          <w:color w:val="auto"/>
        </w:rPr>
        <w:t>Warranties. Any warranty, representation or certification made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by the Company or, any Loan Party herein or any other Loan Document is breached or is false or misleading in any material respect, or any schedule, certificate, financial statement, report, notice or other writing furnished by the Company or any Loan Party to the Bank in connection herewith is false or misleading in any material respect on the date as of which the facts therein set forth are stated or certified.</w:t>
      </w:r>
    </w:p>
    <w:p>
      <w:pPr>
        <w:spacing w:after="0" w:line="168"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13.1.7</w:t>
      </w:r>
      <w:r>
        <w:rPr>
          <w:sz w:val="20"/>
          <w:szCs w:val="20"/>
          <w:color w:val="auto"/>
        </w:rPr>
        <w:tab/>
      </w:r>
      <w:r>
        <w:rPr>
          <w:rFonts w:ascii="Courier New" w:cs="Courier New" w:eastAsia="Courier New" w:hAnsi="Courier New"/>
          <w:sz w:val="14"/>
          <w:szCs w:val="14"/>
          <w:color w:val="auto"/>
        </w:rPr>
        <w:t>Pension Plans. (i) Institution of any steps by the Company or</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other Person to terminate a Pension Plan if as a result of such termination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could be required to make a contribution to such Pension Plan, or</w:t>
      </w:r>
    </w:p>
    <w:p>
      <w:pPr>
        <w:spacing w:after="0" w:line="237" w:lineRule="auto"/>
        <w:rPr>
          <w:sz w:val="20"/>
          <w:szCs w:val="20"/>
          <w:color w:val="auto"/>
        </w:rPr>
      </w:pPr>
      <w:r>
        <w:rPr>
          <w:rFonts w:ascii="Courier New" w:cs="Courier New" w:eastAsia="Courier New" w:hAnsi="Courier New"/>
          <w:sz w:val="15"/>
          <w:szCs w:val="15"/>
          <w:color w:val="auto"/>
        </w:rPr>
        <w:t>could incur a liability or obligation to such Pension Plan, in excess of</w:t>
      </w:r>
    </w:p>
    <w:p>
      <w:pPr>
        <w:spacing w:after="0" w:line="238" w:lineRule="auto"/>
        <w:rPr>
          <w:sz w:val="20"/>
          <w:szCs w:val="20"/>
          <w:color w:val="auto"/>
        </w:rPr>
      </w:pPr>
      <w:r>
        <w:rPr>
          <w:rFonts w:ascii="Courier New" w:cs="Courier New" w:eastAsia="Courier New" w:hAnsi="Courier New"/>
          <w:sz w:val="15"/>
          <w:szCs w:val="15"/>
          <w:color w:val="auto"/>
        </w:rPr>
        <w:t>$250,000; (ii) a contribution failure occurs with respect to any Pension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sufficient to give rise to a Lien under Section 302(f) of ERISA; or (iii) there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occur any withdrawal or partial withdrawal from a Multiemployer Pension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and the withdrawal liability (without unaccrued interest) to Multiemployer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 as a result of such withdrawal (including any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withdrawal liability that the Company and the Controlled Group have incurred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date of such withdrawal) exceeds $250,000.</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90" w:name="page91"/>
    <w:bookmarkEnd w:id="90"/>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13.1.8</w:t>
      </w:r>
      <w:r>
        <w:rPr>
          <w:sz w:val="20"/>
          <w:szCs w:val="20"/>
          <w:color w:val="auto"/>
        </w:rPr>
        <w:tab/>
      </w:r>
      <w:r>
        <w:rPr>
          <w:rFonts w:ascii="Courier New" w:cs="Courier New" w:eastAsia="Courier New" w:hAnsi="Courier New"/>
          <w:sz w:val="14"/>
          <w:szCs w:val="14"/>
          <w:color w:val="auto"/>
        </w:rPr>
        <w:t>Judgments. Final judgments which, in the aggregate at any one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time outstanding, exceed applicable insurance coverage by $1,000,000 or more shall be rendered against the Company or any Subsidiary and shall not have been paid, discharged or vacated or had execution thereof stayed pending appeal within 90 days after entry or filing of such judgments.</w:t>
      </w:r>
    </w:p>
    <w:p>
      <w:pPr>
        <w:spacing w:after="0" w:line="169"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13.1.9</w:t>
      </w:r>
      <w:r>
        <w:rPr>
          <w:sz w:val="20"/>
          <w:szCs w:val="20"/>
          <w:color w:val="auto"/>
        </w:rPr>
        <w:tab/>
      </w:r>
      <w:r>
        <w:rPr>
          <w:rFonts w:ascii="Courier New" w:cs="Courier New" w:eastAsia="Courier New" w:hAnsi="Courier New"/>
          <w:sz w:val="14"/>
          <w:szCs w:val="14"/>
          <w:color w:val="auto"/>
        </w:rPr>
        <w:t>Invalidity of Collateral Documents, etc. Any Collateral Document</w:t>
      </w:r>
    </w:p>
    <w:p>
      <w:pPr>
        <w:ind w:left="14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28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shall cease to</w:t>
            </w:r>
          </w:p>
        </w:tc>
        <w:tc>
          <w:tcPr>
            <w:tcW w:w="9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9"/>
              </w:rPr>
              <w:t>be in full</w:t>
            </w:r>
          </w:p>
        </w:tc>
        <w:tc>
          <w:tcPr>
            <w:tcW w:w="8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force and</w:t>
            </w:r>
          </w:p>
        </w:tc>
        <w:tc>
          <w:tcPr>
            <w:tcW w:w="13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8"/>
              </w:rPr>
              <w:t>effect; or the</w:t>
            </w:r>
          </w:p>
        </w:tc>
        <w:tc>
          <w:tcPr>
            <w:tcW w:w="258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w w:val="95"/>
              </w:rPr>
              <w:t>Company or any Subsidiary (or</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any Person by,</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through or</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behalf</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the Company</w:t>
            </w:r>
          </w:p>
        </w:tc>
        <w:tc>
          <w:tcPr>
            <w:tcW w:w="2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or any Subsidiary) shall</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contest in any manner the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validity,</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binding nature or enforceability of any</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Collateral Document.</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580" w:type="dxa"/>
            <w:vAlign w:val="bottom"/>
          </w:tcPr>
          <w:p>
            <w:pPr>
              <w:spacing w:after="0"/>
              <w:rPr>
                <w:sz w:val="14"/>
                <w:szCs w:val="14"/>
                <w:color w:val="auto"/>
              </w:rPr>
            </w:pPr>
          </w:p>
        </w:tc>
      </w:tr>
    </w:tbl>
    <w:p>
      <w:pPr>
        <w:spacing w:after="0" w:line="166"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4"/>
          <w:szCs w:val="14"/>
          <w:color w:val="auto"/>
        </w:rPr>
        <w:t>Effect of Event of Default. If any Event of Default described in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Section 13.1.4 shall occur, the Commitment (if they have not theretofore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terminated) shall immediately terminate and the Loans and all other obligations hereunder shall become immediately due and payable, and the Company shall be required to Cash Collateralize all Letters of Credit, all without presentment, demand, protest or notice of any kind; and, if any other Event of Default shall occur and be continuing, the Bank shall declare the Commitment (if they have not theretofore terminated) to be terminated and/or declare all Loans and all other obligations hereunder to be due and payable, and/or demand that the Company Cash Collateralize all Letters of Credit whereupon the Commitment (if they have not theretofore terminated) shall immediately terminate and/or all Loans and all other obligations hereunder shall become immediately due and payable, all without presentment, demand, protest or notice of any kind. The Bank shall promptly advise the Company of any such declaration, but failure to do so shall not impair the effect of such declaration. Notwithstanding the foregoing, the effect as an Event of Default of any event described in this Section 13 may be</w:t>
      </w:r>
    </w:p>
    <w:p>
      <w:pPr>
        <w:ind w:left="53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waived by the Bank. Any cash collateral delivered hereunder shall be held by the Bank (without liability for interest thereon) and applied to the Obligations arising in connection with any drawing under a Letter of Credit. At the expiration or termination of all Letters of Credit, such cash collateral shall be applied to any remaining Obligations hereunder and any excess shall be delivered to the Company or as a court of competent jurisdiction may direct.</w:t>
      </w:r>
    </w:p>
    <w:p>
      <w:pPr>
        <w:sectPr>
          <w:pgSz w:w="11900" w:h="16838" w:orient="portrait"/>
          <w:cols w:equalWidth="0" w:num="1">
            <w:col w:w="10239"/>
          </w:cols>
          <w:pgMar w:left="220" w:top="617" w:right="1440" w:bottom="1440" w:gutter="0" w:footer="0" w:header="0"/>
        </w:sectPr>
      </w:pP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14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1" w:lineRule="exact"/>
        <w:rPr>
          <w:sz w:val="20"/>
          <w:szCs w:val="20"/>
          <w:color w:val="auto"/>
        </w:rPr>
      </w:pPr>
    </w:p>
    <w:p>
      <w:pPr>
        <w:sectPr>
          <w:pgSz w:w="11900" w:h="16838" w:orient="portrait"/>
          <w:cols w:equalWidth="0" w:num="2">
            <w:col w:w="1580" w:space="520"/>
            <w:col w:w="8139"/>
          </w:cols>
          <w:pgMar w:left="220" w:top="617" w:right="1440" w:bottom="1440" w:gutter="0" w:footer="0" w:header="0"/>
          <w:type w:val="continuous"/>
        </w:sect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4"/>
          <w:szCs w:val="14"/>
          <w:color w:val="auto"/>
        </w:rPr>
        <w:t>Waiver; Amendments. No delay on the part of the Bank in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exercise of any right, power or remedy shall operate as a waiver thereof, nor</w:t>
      </w:r>
    </w:p>
    <w:p>
      <w:pPr>
        <w:spacing w:after="0" w:line="237" w:lineRule="auto"/>
        <w:rPr>
          <w:sz w:val="20"/>
          <w:szCs w:val="20"/>
          <w:color w:val="auto"/>
        </w:rPr>
      </w:pPr>
      <w:r>
        <w:rPr>
          <w:rFonts w:ascii="Courier New" w:cs="Courier New" w:eastAsia="Courier New" w:hAnsi="Courier New"/>
          <w:sz w:val="15"/>
          <w:szCs w:val="15"/>
          <w:color w:val="auto"/>
        </w:rPr>
        <w:t>shall any single or partial exercise by any of them of any right, power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remedy preclude other or further exercise thereof, or the exercise of any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power or remedy. No amendment, modification or waiver of, or consent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any provision of this Agreement or the Notes shall in any event be</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unless the same shall be in writing and signed and delivered by the Bank, and then any such amendment, modification, waiver or consent shall be effective only in the specific instance and for the specific purpose for which given.</w:t>
      </w:r>
    </w:p>
    <w:p>
      <w:pPr>
        <w:spacing w:after="0" w:line="169"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Notices. Except as otherwise provided in Sections 2.2.2 and</w:t>
      </w:r>
    </w:p>
    <w:p>
      <w:pPr>
        <w:ind w:left="1400"/>
        <w:spacing w:after="0" w:line="237" w:lineRule="auto"/>
        <w:tabs>
          <w:tab w:leader="none" w:pos="4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2.2.3, all notices hereunder shall be in writing (including facsimile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transmission) and shall be sent to the applicable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type w:val="continuous"/>
        </w:sectPr>
      </w:pPr>
    </w:p>
    <w:bookmarkStart w:id="91" w:name="page92"/>
    <w:bookmarkEnd w:id="91"/>
    <w:p>
      <w:pPr>
        <w:jc w:val="center"/>
        <w:ind w:right="3579"/>
        <w:spacing w:after="0"/>
        <w:rPr>
          <w:sz w:val="20"/>
          <w:szCs w:val="20"/>
          <w:color w:val="auto"/>
        </w:rPr>
      </w:pPr>
      <w:r>
        <w:rPr>
          <w:rFonts w:ascii="Courier New" w:cs="Courier New" w:eastAsia="Courier New" w:hAnsi="Courier New"/>
          <w:sz w:val="14"/>
          <w:szCs w:val="14"/>
          <w:color w:val="auto"/>
        </w:rPr>
        <w:t>party at its address shown on Schedule 14.2 or at such other address as such</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party may, by written notice received by the other parties, have designated as its address for such purpose. Notices sent by facsimile transmission shall be deemed to have been given when sent; notices sent by mail shall be deemed to have been given three Business Days after the date when sent by registered or certified mail, postage prepaid; and notices sent by hand delivery or overnight courier service shall be deemed to have been given when received. For purposes of Sections 2.2.2 and 2.2.3, the Bank shall be entitled to rely on telephonic</w:t>
      </w:r>
    </w:p>
    <w:p>
      <w:pPr>
        <w:ind w:left="280"/>
        <w:spacing w:after="0" w:line="234" w:lineRule="auto"/>
        <w:tabs>
          <w:tab w:leader="none" w:pos="1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instructions from any person that the Bank in good faith believes is an authorized officer or employee of the Company, and the Company shall hold the Bank harmless from any loss, cost or expense resulting from any such reliance.</w:t>
      </w:r>
    </w:p>
    <w:p>
      <w:pPr>
        <w:spacing w:after="0" w:line="155" w:lineRule="exact"/>
        <w:rPr>
          <w:sz w:val="20"/>
          <w:szCs w:val="20"/>
          <w:color w:val="auto"/>
        </w:rPr>
      </w:pPr>
    </w:p>
    <w:p>
      <w:pPr>
        <w:ind w:left="700"/>
        <w:spacing w:after="0"/>
        <w:tabs>
          <w:tab w:leader="none" w:pos="122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Computations. Where the character or amount of any asset or</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liability or item of income or expense is required to be determined, or any consolidation or other accounting computation is required to be made, for the purpose of this Agreement, such determination or calculation shall, to the extent applicable and except as otherwise specified in this Agreement, be made in accordance with GAAP, consistently applied; provided that if the Company</w:t>
      </w:r>
    </w:p>
    <w:p>
      <w:pPr>
        <w:ind w:left="41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notifies the Bank that the Company wishes to amend any covenant in Section 11 to</w:t>
      </w:r>
    </w:p>
    <w:p>
      <w:pPr>
        <w:spacing w:after="0" w:line="3"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eliminate or to take into account the effect of any change in GAAP on the operation of such covenant (or if the Bank notifies the Company that the Bank wishes to amend Section 11 for such purpose), then the Company's compliance with</w:t>
      </w:r>
    </w:p>
    <w:p>
      <w:pPr>
        <w:ind w:left="140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such covenant shall be determined on the basis of GAAP in effect immediately before the relevant change in GAAP became effective, until either such notice is withdrawn or such covenant is amended in a manner satisfactory to the Company and the Bank.</w:t>
      </w:r>
    </w:p>
    <w:p>
      <w:pPr>
        <w:spacing w:after="0" w:line="169" w:lineRule="exact"/>
        <w:rPr>
          <w:sz w:val="20"/>
          <w:szCs w:val="20"/>
          <w:color w:val="auto"/>
        </w:rPr>
      </w:pPr>
    </w:p>
    <w:p>
      <w:pPr>
        <w:ind w:left="700"/>
        <w:spacing w:after="0"/>
        <w:tabs>
          <w:tab w:leader="none" w:pos="122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4"/>
          <w:szCs w:val="14"/>
          <w:color w:val="auto"/>
        </w:rPr>
        <w:t>Regulation U. The Bank represents that it in good faith is not</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relying, either directly or indirectly, upon any Margin Stock as collateral security for the extension or maintenance by it of any credit provided for in this Agreement.</w:t>
      </w:r>
    </w:p>
    <w:p>
      <w:pPr>
        <w:spacing w:after="0" w:line="167" w:lineRule="exact"/>
        <w:rPr>
          <w:sz w:val="20"/>
          <w:szCs w:val="20"/>
          <w:color w:val="auto"/>
        </w:rPr>
      </w:pPr>
    </w:p>
    <w:p>
      <w:pPr>
        <w:ind w:left="700"/>
        <w:spacing w:after="0"/>
        <w:tabs>
          <w:tab w:leader="none" w:pos="122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4"/>
          <w:szCs w:val="14"/>
          <w:color w:val="auto"/>
        </w:rPr>
        <w:t>Costs, Expenses and Taxes. Subject to the limits expressly set</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forth in this Agreement, the Company agrees to pay on demand all reasonable out-of-pocket costs and expenses of the Bank (including Attorney Costs) in connection with the preparation, execution, syndication, delivery and administration of this Agreement, the other Loan Documents and all other documents provided for herein or delivered or to be delivered hereunder or in connection herewith (including any amendment, supplement or waiver to any Loan Document), and all reasonable out-of-pocket costs and expenses (including Attorney Costs) incurred by the Bank after an Event of Default in connection with the enforcement of this Agreement, the other Loan Documents or any such other documents. In addition, the Company agrees to pay, and to save the Bank harmless from all liability for, (a) any stamp or other taxes (including documentary stamp taxes and intangible taxes, but excluding income taxes and franchise taxes based on net income) which may be payable in connection with the execution and delivery of this Agreement, the borrowings hereunder, the issuance of the Notes or the execution and delivery of any other Loan Document or any other document provided for herein or delivered or to be delivered hereunder or in connection herewith and (b) any fees of the Company's auditors in connection with any reasonable exercise by the Bank of its rights pursuant to Section 11.2.</w:t>
      </w:r>
    </w:p>
    <w:p>
      <w:pPr>
        <w:spacing w:after="0" w:line="15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obligations provided for in this Section 14.5 shall survive repayment of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Loans, cancellation of the Notes, and termination of this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92" w:name="page93"/>
    <w:bookmarkEnd w:id="92"/>
    <w:p>
      <w:pPr>
        <w:ind w:left="800"/>
        <w:spacing w:after="0"/>
        <w:tabs>
          <w:tab w:leader="none" w:pos="1560" w:val="left"/>
          <w:tab w:leader="none" w:pos="366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Subsidiary References.</w:t>
      </w:r>
      <w:r>
        <w:rPr>
          <w:sz w:val="20"/>
          <w:szCs w:val="20"/>
          <w:color w:val="auto"/>
        </w:rPr>
        <w:tab/>
      </w:r>
      <w:r>
        <w:rPr>
          <w:rFonts w:ascii="Courier New" w:cs="Courier New" w:eastAsia="Courier New" w:hAnsi="Courier New"/>
          <w:sz w:val="14"/>
          <w:szCs w:val="14"/>
          <w:color w:val="auto"/>
        </w:rPr>
        <w:t>The provisions of this Agreement</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relating to Subsidiaries shall apply only during such times as the Company has one or more Subsidiaries.</w:t>
      </w:r>
    </w:p>
    <w:p>
      <w:pPr>
        <w:spacing w:after="0" w:line="167" w:lineRule="exact"/>
        <w:rPr>
          <w:sz w:val="20"/>
          <w:szCs w:val="20"/>
          <w:color w:val="auto"/>
        </w:rPr>
      </w:pPr>
    </w:p>
    <w:p>
      <w:pPr>
        <w:ind w:left="800"/>
        <w:spacing w:after="0"/>
        <w:tabs>
          <w:tab w:leader="none" w:pos="1560" w:val="left"/>
          <w:tab w:leader="none" w:pos="252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5"/>
          <w:szCs w:val="15"/>
          <w:color w:val="auto"/>
        </w:rPr>
        <w:t>Captions.</w:t>
      </w:r>
      <w:r>
        <w:rPr>
          <w:sz w:val="20"/>
          <w:szCs w:val="20"/>
          <w:color w:val="auto"/>
        </w:rPr>
        <w:tab/>
      </w:r>
      <w:r>
        <w:rPr>
          <w:rFonts w:ascii="Courier New" w:cs="Courier New" w:eastAsia="Courier New" w:hAnsi="Courier New"/>
          <w:sz w:val="14"/>
          <w:szCs w:val="14"/>
          <w:color w:val="auto"/>
        </w:rPr>
        <w:t>Section captions used in this Agreement are for</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convenience only and shall not affect the construction of this Agreement.</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14.8</w:t>
      </w:r>
      <w:r>
        <w:rPr>
          <w:sz w:val="20"/>
          <w:szCs w:val="20"/>
          <w:color w:val="auto"/>
        </w:rPr>
        <w:tab/>
      </w:r>
      <w:r>
        <w:rPr>
          <w:rFonts w:ascii="Courier New" w:cs="Courier New" w:eastAsia="Courier New" w:hAnsi="Courier New"/>
          <w:sz w:val="14"/>
          <w:szCs w:val="14"/>
          <w:color w:val="auto"/>
        </w:rPr>
        <w:t>Assignments; Participations.</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14.8.1</w:t>
      </w:r>
      <w:r>
        <w:rPr>
          <w:sz w:val="20"/>
          <w:szCs w:val="20"/>
          <w:color w:val="auto"/>
        </w:rPr>
        <w:tab/>
      </w:r>
      <w:r>
        <w:rPr>
          <w:rFonts w:ascii="Courier New" w:cs="Courier New" w:eastAsia="Courier New" w:hAnsi="Courier New"/>
          <w:sz w:val="14"/>
          <w:szCs w:val="14"/>
          <w:color w:val="auto"/>
        </w:rPr>
        <w:t>Assignments. Subject to the approval of the Company, such</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approval not to be unreasonably withheld or delayed, the Bank may at any time assign and delegate to one or more commercial banks or financial institutions (any Person to whom such an assignment and delegation is to be made being herein called an "Assignee") all or any fraction of the Bank's Loans and Commitment</w:t>
      </w:r>
    </w:p>
    <w:p>
      <w:pPr>
        <w:ind w:left="9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(which assignment and delegation shall be of a constant, and not a varying, percentage of all the Bank's Loans and Commitment); provided that no assignment</w:t>
      </w:r>
    </w:p>
    <w:p>
      <w:pPr>
        <w:ind w:left="456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and delegation may be made to any Person if, at the time of such assignment and delegation, the Company would be obligated to pay any greater amount under Section 7.5 or Section 8 to the Assignee than the Company is then obligated to</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pay to the Bank under such Sections (and if any assignment is made in violation of the foregoing, the Company will not be required to pay the incremental amounts).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From and after the date on which the conditions described above have been met, such Assignee shall be deemed automatically to have become a party hereto and, to the extent that rights and obligations hereunder have been assigned and delegated to such Assignee pursuant to such Assignment Agreement, shall have the rights and obligations of the Bank hereunder and the Bank, to the extent that rights and obligations hereunder have been assigned and delegated by it pursuant to such Assignment Agreement, shall be released from its obligations hereunder.</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Notwithstanding the foregoing provisions of this Section 14.8.1 or any</w:t>
      </w:r>
    </w:p>
    <w:p>
      <w:pPr>
        <w:spacing w:after="0" w:line="3"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other provision of this Agreement, the Bank may at any time assign all or any portion of its Loans and its Note to a Federal Reserve Bank (but no such assignment shall release the Bank from any of its obligations hereunder).</w:t>
      </w:r>
    </w:p>
    <w:p>
      <w:pPr>
        <w:spacing w:after="0" w:line="15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14.8.2</w:t>
      </w:r>
      <w:r>
        <w:rPr>
          <w:sz w:val="20"/>
          <w:szCs w:val="20"/>
          <w:color w:val="auto"/>
        </w:rPr>
        <w:tab/>
      </w:r>
      <w:r>
        <w:rPr>
          <w:rFonts w:ascii="Courier New" w:cs="Courier New" w:eastAsia="Courier New" w:hAnsi="Courier New"/>
          <w:sz w:val="14"/>
          <w:szCs w:val="14"/>
          <w:color w:val="auto"/>
        </w:rPr>
        <w:t>Participations. Subject to the approval of the Company, such</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approval not to be unreasonably withheld or delayed, the Bank may at any time sell to one or more commercial banks or other Persons participating interests in any Loan owing to the Bank, the Note held by the Bank, the Commitment of the Bank, the interest of the Bank in any Letter of Credit or any other interest of such Bank hereunder (any Person purchasing any such participating interest being herein called a "Participant"). In the event of the sale by the Bank of a</w:t>
      </w:r>
    </w:p>
    <w:p>
      <w:pPr>
        <w:ind w:left="150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participating interest to a Participant, (x) the Bank shall remain the holder of the Note for all purposes of this Agreement, (y) the Company shall continue to deal solely and directly with the Bank in connection with the Bank's rights and obligations hereunder and (z) all amounts payable by the Company shall be determined as if the Bank had not sold such participation and shall be paid directly to the Bank. No Participant shall have any direct or indirect voting rights hereunder. The Bank agrees to incorporate the requirements of the preceding sentence into each</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93" w:name="page94"/>
    <w:bookmarkEnd w:id="93"/>
    <w:p>
      <w:pPr>
        <w:ind w:right="3239"/>
        <w:spacing w:after="0" w:line="254" w:lineRule="auto"/>
        <w:rPr>
          <w:sz w:val="20"/>
          <w:szCs w:val="20"/>
          <w:color w:val="auto"/>
        </w:rPr>
      </w:pPr>
      <w:r>
        <w:rPr>
          <w:rFonts w:ascii="Courier New" w:cs="Courier New" w:eastAsia="Courier New" w:hAnsi="Courier New"/>
          <w:sz w:val="14"/>
          <w:szCs w:val="14"/>
          <w:color w:val="auto"/>
        </w:rPr>
        <w:t>participation agreement which the Bank enters into with any Participant. The Company agrees that if amounts outstanding under this Agreement and the Note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the Bank under</w:t>
      </w:r>
    </w:p>
    <w:tbl>
      <w:tblPr>
        <w:tblLayout w:type="fixed"/>
        <w:tblInd w:w="0" w:type="dxa"/>
        <w:tblCellMar>
          <w:top w:w="0" w:type="dxa"/>
          <w:left w:w="0" w:type="dxa"/>
          <w:bottom w:w="0" w:type="dxa"/>
          <w:right w:w="0" w:type="dxa"/>
        </w:tblCellMar>
      </w:tblPr>
      <w:tr>
        <w:trPr>
          <w:trHeight w:val="166"/>
        </w:trPr>
        <w:tc>
          <w:tcPr>
            <w:tcW w:w="478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w w:val="97"/>
              </w:rPr>
              <w:t>this Agreement or Note or a Letter of Credit; provided</w:t>
            </w:r>
          </w:p>
        </w:tc>
        <w:tc>
          <w:tcPr>
            <w:tcW w:w="22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5"/>
              </w:rPr>
              <w:t>that such right of setoff</w:t>
            </w:r>
          </w:p>
        </w:tc>
      </w:tr>
      <w:tr>
        <w:trPr>
          <w:trHeight w:val="168"/>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spacing w:after="0"/>
              <w:rPr>
                <w:sz w:val="14"/>
                <w:szCs w:val="14"/>
                <w:color w:val="auto"/>
              </w:rPr>
            </w:pPr>
          </w:p>
        </w:tc>
      </w:tr>
      <w:tr>
        <w:trPr>
          <w:trHeight w:val="168"/>
        </w:trPr>
        <w:tc>
          <w:tcPr>
            <w:tcW w:w="4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shall be subject to the obligation of each Participant</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share with the Bank,</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 the Bank agrees to share</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with each Participant,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provided in Section 7.4.</w:t>
            </w:r>
          </w:p>
        </w:tc>
      </w:tr>
      <w:tr>
        <w:trPr>
          <w:trHeight w:val="168"/>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 Company also agrees that</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each Participant shall</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entitled to the benefits</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Section 7.5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and Section 8</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as if it were the Bank</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(provided that no</w:t>
            </w:r>
          </w:p>
        </w:tc>
      </w:tr>
      <w:tr>
        <w:trPr>
          <w:trHeight w:val="168"/>
        </w:trPr>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2480" w:type="dxa"/>
            <w:vAlign w:val="bottom"/>
            <w:gridSpan w:val="2"/>
          </w:tcPr>
          <w:p>
            <w:pPr>
              <w:jc w:val="right"/>
              <w:ind w:right="15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Participant shall receive any greater compensation pursuant to Section 7.5 or</w:t>
      </w:r>
    </w:p>
    <w:p>
      <w:pPr>
        <w:ind w:left="552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Section 8 than would have been paid to the Bank if no participation had been</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sold).</w:t>
      </w:r>
    </w:p>
    <w:p>
      <w:pPr>
        <w:spacing w:after="0" w:line="167" w:lineRule="exact"/>
        <w:rPr>
          <w:sz w:val="20"/>
          <w:szCs w:val="20"/>
          <w:color w:val="auto"/>
        </w:rPr>
      </w:pPr>
    </w:p>
    <w:p>
      <w:pPr>
        <w:jc w:val="right"/>
        <w:ind w:right="3239"/>
        <w:spacing w:after="0"/>
        <w:tabs>
          <w:tab w:leader="none" w:pos="5580" w:val="left"/>
        </w:tabs>
        <w:rPr>
          <w:sz w:val="20"/>
          <w:szCs w:val="20"/>
          <w:color w:val="auto"/>
        </w:rPr>
      </w:pP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4"/>
          <w:szCs w:val="14"/>
          <w:color w:val="auto"/>
        </w:rPr>
        <w:t>Governing Law. This Agreement shall be a contract made under and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governed by the internal laws of the State of Florida applicable to contracts made and to be performed entirely within such State.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the Company and rights of the Bank expressed herein or in any other Loan Document shall be in addition to and not in limitation of those provided by applicable law.</w:t>
      </w:r>
    </w:p>
    <w:p>
      <w:pPr>
        <w:spacing w:after="0" w:line="173"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14.10</w:t>
      </w:r>
      <w:r>
        <w:rPr>
          <w:sz w:val="20"/>
          <w:szCs w:val="20"/>
          <w:color w:val="auto"/>
        </w:rPr>
        <w:tab/>
      </w:r>
      <w:r>
        <w:rPr>
          <w:rFonts w:ascii="Courier New" w:cs="Courier New" w:eastAsia="Courier New" w:hAnsi="Courier New"/>
          <w:sz w:val="14"/>
          <w:szCs w:val="14"/>
          <w:color w:val="auto"/>
        </w:rPr>
        <w:t>Counterparts. This Agreement may be executed in any number of</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counterparts and by the different parties hereto on separate counterparts and each such counterpart shall be deemed to be an original, but all such counterparts shall together constitute but one and the same Agreement.</w:t>
      </w:r>
    </w:p>
    <w:p>
      <w:pPr>
        <w:spacing w:after="0" w:line="167" w:lineRule="exact"/>
        <w:rPr>
          <w:sz w:val="20"/>
          <w:szCs w:val="20"/>
          <w:color w:val="auto"/>
        </w:rPr>
      </w:pPr>
    </w:p>
    <w:p>
      <w:pPr>
        <w:jc w:val="right"/>
        <w:ind w:right="3239"/>
        <w:spacing w:after="0"/>
        <w:tabs>
          <w:tab w:leader="none" w:pos="5580" w:val="left"/>
        </w:tabs>
        <w:rPr>
          <w:sz w:val="20"/>
          <w:szCs w:val="20"/>
          <w:color w:val="auto"/>
        </w:rPr>
      </w:pPr>
      <w:r>
        <w:rPr>
          <w:rFonts w:ascii="Courier New" w:cs="Courier New" w:eastAsia="Courier New" w:hAnsi="Courier New"/>
          <w:sz w:val="15"/>
          <w:szCs w:val="15"/>
          <w:color w:val="auto"/>
        </w:rPr>
        <w:t>14.11</w:t>
      </w:r>
      <w:r>
        <w:rPr>
          <w:sz w:val="20"/>
          <w:szCs w:val="20"/>
          <w:color w:val="auto"/>
        </w:rPr>
        <w:tab/>
      </w:r>
      <w:r>
        <w:rPr>
          <w:rFonts w:ascii="Courier New" w:cs="Courier New" w:eastAsia="Courier New" w:hAnsi="Courier New"/>
          <w:sz w:val="14"/>
          <w:szCs w:val="14"/>
          <w:color w:val="auto"/>
        </w:rPr>
        <w:t>Successors and Assigns. This Agreement shall be binding upon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Company, the Bank and their respective successors and assigns, and shall inure to the benefit of the Company, the Bank and the successors and assigns of the Bank.</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14.12</w:t>
      </w:r>
      <w:r>
        <w:rPr>
          <w:sz w:val="20"/>
          <w:szCs w:val="20"/>
          <w:color w:val="auto"/>
        </w:rPr>
        <w:tab/>
      </w:r>
      <w:r>
        <w:rPr>
          <w:rFonts w:ascii="Courier New" w:cs="Courier New" w:eastAsia="Courier New" w:hAnsi="Courier New"/>
          <w:sz w:val="14"/>
          <w:szCs w:val="14"/>
          <w:color w:val="auto"/>
        </w:rPr>
        <w:t>Indemnification by the Company. In consideration of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execution and delivery of this Agreement by the Bank and the agreement to extend the Commitment provided hereunder, the Company hereby agrees to indemnify, exonerate and hold the Bank and each of the officers, directors, employees, Affiliates and agents of the Bank (each a "Bank Party") free and harmless from</w:t>
      </w:r>
    </w:p>
    <w:p>
      <w:pPr>
        <w:ind w:left="37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and against any and all actions, causes of action, suits, losses, liabilities, damages and expenses, including Attorney Costs (collectively, the "Indemnified</w:t>
      </w:r>
    </w:p>
    <w:p>
      <w:pPr>
        <w:ind w:left="586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Liabilities"), incurred by the Bank Parties or any of them as a result of, or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arising out of, or relating to (i) any tender offer, merger, purchase of stock, purchase of assets or other similar transaction financed or proposed to be financed in whole or in part, directly or indirectly, with the proceeds of any of the Loans, (ii) the use, handling, release, emission, discharge, transportation, storage, treatment or disposal of any hazardous substance at any property owned or leased by the Company or any Subsidiary, (iii) any violation of any Environmental Laws with respect to conditions at any property owned or leased by the Company or any Subsidiary or the operations conducted thereon,</w:t>
      </w:r>
    </w:p>
    <w:p>
      <w:pPr>
        <w:spacing w:after="0" w:line="3" w:lineRule="exact"/>
        <w:rPr>
          <w:sz w:val="20"/>
          <w:szCs w:val="20"/>
          <w:color w:val="auto"/>
        </w:rPr>
      </w:pPr>
    </w:p>
    <w:p>
      <w:pPr>
        <w:ind w:right="3239" w:firstLine="10"/>
        <w:spacing w:after="0" w:line="234" w:lineRule="auto"/>
        <w:tabs>
          <w:tab w:leader="none" w:pos="43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investigation, cleanup or remediation of offsite locations at which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3" w:right="1440" w:bottom="1440" w:gutter="0" w:footer="0" w:header="0"/>
        </w:sectPr>
      </w:pPr>
    </w:p>
    <w:bookmarkStart w:id="94" w:name="page95"/>
    <w:bookmarkEnd w:id="94"/>
    <w:p>
      <w:pPr>
        <w:ind w:right="3239"/>
        <w:spacing w:after="0" w:line="254" w:lineRule="auto"/>
        <w:rPr>
          <w:sz w:val="20"/>
          <w:szCs w:val="20"/>
          <w:color w:val="auto"/>
        </w:rPr>
      </w:pPr>
      <w:r>
        <w:rPr>
          <w:rFonts w:ascii="Courier New" w:cs="Courier New" w:eastAsia="Courier New" w:hAnsi="Courier New"/>
          <w:sz w:val="14"/>
          <w:szCs w:val="14"/>
          <w:color w:val="auto"/>
        </w:rPr>
        <w:t>or any Subsidiary or their respective predecessors are alleged to have directly or indirectly disposed of hazardous substances or (v) the execution, delivery, performance or enforcement of this Agreement or any other Loan Document by any of the Bank Parties, except for any such Indemnified Liabilities arising on account of the applicable Bank Party's gross negligence or willful misconduct. If and to the extent that the foregoing undertaking may be unenforceable for any reason, the Company hereby agrees to make the maximum contribution to the payment and satisfaction of each of the Indemnified Liabilities which is permissible under applicable law. All obligations provided for in this Section</w:t>
      </w:r>
    </w:p>
    <w:p>
      <w:pPr>
        <w:ind w:left="6220"/>
        <w:spacing w:after="0" w:line="235"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14.12 shall survive repayment of the Loans, cancellation of the Notes, any</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foreclosure under, or any modification, release or discharge of, any or all of the Collateral Documents and termination of this Agreement.</w:t>
      </w:r>
    </w:p>
    <w:p>
      <w:pPr>
        <w:spacing w:after="0" w:line="167" w:lineRule="exact"/>
        <w:rPr>
          <w:sz w:val="20"/>
          <w:szCs w:val="20"/>
          <w:color w:val="auto"/>
        </w:rPr>
      </w:pPr>
    </w:p>
    <w:p>
      <w:pPr>
        <w:ind w:left="800"/>
        <w:spacing w:after="0"/>
        <w:tabs>
          <w:tab w:leader="none" w:pos="1480" w:val="left"/>
        </w:tabs>
        <w:rPr>
          <w:sz w:val="20"/>
          <w:szCs w:val="20"/>
          <w:color w:val="auto"/>
        </w:rPr>
      </w:pPr>
      <w:r>
        <w:rPr>
          <w:rFonts w:ascii="Courier New" w:cs="Courier New" w:eastAsia="Courier New" w:hAnsi="Courier New"/>
          <w:sz w:val="15"/>
          <w:szCs w:val="15"/>
          <w:color w:val="auto"/>
        </w:rPr>
        <w:t>14.13</w:t>
      </w:r>
      <w:r>
        <w:rPr>
          <w:sz w:val="20"/>
          <w:szCs w:val="20"/>
          <w:color w:val="auto"/>
        </w:rPr>
        <w:tab/>
      </w:r>
      <w:r>
        <w:rPr>
          <w:rFonts w:ascii="Courier New" w:cs="Courier New" w:eastAsia="Courier New" w:hAnsi="Courier New"/>
          <w:sz w:val="14"/>
          <w:szCs w:val="14"/>
          <w:color w:val="auto"/>
        </w:rPr>
        <w:t>Nonliability of Bank. The relationship between the Company on</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one hand and the Bank on the other hand shall be solely that of borrower and lender. The Bank shall not have any fiduciary responsibility to the Company. The Bank does not undertake any responsibility to the Company to review or inform the Company of any matter in connection with any phase of the Company's business or operations. The Company agrees that the Bank shall have no liability to the Company (whether sounding in tort, contract or otherwise) for losses suffered by the Company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Bank. The Bank shall have no liability with respect to, and the Company hereby waives, releases and agrees not to sue for, any special, indirect or consequential damages suffered by the Company in connection with, arising out of, or in any way related to the Loan Documents or the transactions contemplated thereby.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95" w:name="page96"/>
    <w:bookmarkEnd w:id="95"/>
    <w:p>
      <w:pPr>
        <w:ind w:left="800"/>
        <w:spacing w:after="0"/>
        <w:tabs>
          <w:tab w:leader="none" w:pos="1380" w:val="left"/>
        </w:tabs>
        <w:rPr>
          <w:sz w:val="20"/>
          <w:szCs w:val="20"/>
          <w:color w:val="auto"/>
        </w:rPr>
      </w:pPr>
      <w:r>
        <w:rPr>
          <w:rFonts w:ascii="Courier New" w:cs="Courier New" w:eastAsia="Courier New" w:hAnsi="Courier New"/>
          <w:sz w:val="15"/>
          <w:szCs w:val="15"/>
          <w:color w:val="auto"/>
        </w:rPr>
        <w:t>14.14</w:t>
      </w:r>
      <w:r>
        <w:rPr>
          <w:sz w:val="20"/>
          <w:szCs w:val="20"/>
          <w:color w:val="auto"/>
        </w:rPr>
        <w:tab/>
      </w:r>
      <w:r>
        <w:rPr>
          <w:rFonts w:ascii="Courier New" w:cs="Courier New" w:eastAsia="Courier New" w:hAnsi="Courier New"/>
          <w:sz w:val="14"/>
          <w:szCs w:val="14"/>
          <w:color w:val="auto"/>
        </w:rPr>
        <w:t>Forum Selection and Consent to Jurisdiction. ANY LITIGATION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BASED HEREON, OR ARISING OUT OF, UNDER, OR IN CONNECTION WITH THIS AGREEMENT OR ANY OTHER LOAN DOCUMENT, SHALL BE BROUGHT AND MAINTAINED EXCLUSIVELY IN THE COURTS OF THE STATE OF FLORIDA OR IN THE UNITED STATES DISTRICT COURT FOR THE SOUTHERN DISTRICT OF FLORIDA; PROVIDED THAT ANY SUIT SEEKING ENFORCEMENT AGAINST</w:t>
      </w:r>
    </w:p>
    <w:p>
      <w:pPr>
        <w:ind w:left="264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ANY GUARANTOR, ANY COLLATERAL OR OTHER PROPERTY MAY BE BROUGHT, AT THE BANK'S OPTION, IN THE COURTS OF ANY JURISDICTION WHERE SUCH GUARANTOR, COLLATERAL OR OTHER PROPERTY MAY BE FOUND. THE COMPANY HEREBY EXPRESSLY AND IRREVOCABLY SUBMITS TO THE JURISDICTION OF THE COURTS OF THE STATE OF FLORIDA AND OF THE UNITED STATES DISTRICT COURT FOR THE SOUTHERN DISTRICT OF FLORIDA FOR THE PURPOSE OF ANY SUCH LITIGATION AS SET FORTH ABOVE. THE COMPANY FURTHER IRREVOCABLY CONSENTS TO THE SERVICE OF PROCESS BY REGISTERED MAIL, POSTAGE PREPAID, OR BY PERSONAL SERVICE WITHIN OR WITHOUT THE STATE OF FLORIDA. THE COMPANY HEREBY EXPRESSLY AND IRREVOCABLY WAIVES, TO THE FULLEST EXTENT PERMITTED BY LAW, ANY OBJECTION IT MAY NOW OR HEREAFTER HAVE TO THE LAYING OF VENUE OF ANY SUCH LITIGATION BROUGHT IN ANY SUCH COURT REFERRED TO ABOVE AND ANY CLAIM THAT ANY SUCH LITIGATION HAS BEEN BROUGHT IN AN INCONVENIENT FORUM.</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14.15</w:t>
      </w:r>
      <w:r>
        <w:rPr>
          <w:sz w:val="20"/>
          <w:szCs w:val="20"/>
          <w:color w:val="auto"/>
        </w:rPr>
        <w:tab/>
      </w:r>
      <w:r>
        <w:rPr>
          <w:rFonts w:ascii="Courier New" w:cs="Courier New" w:eastAsia="Courier New" w:hAnsi="Courier New"/>
          <w:sz w:val="14"/>
          <w:szCs w:val="14"/>
          <w:color w:val="auto"/>
        </w:rPr>
        <w:t>Waiver of Jury Trial. EACH OF THE COMPANY AND THE BANK HEREBY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WAIVES 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BANKING RELATIONSHIP EXISTING IN CONNECTION WITH ANY OF THE FOREGOING, AND AGREES THAT ANY SUCH ACTION OR PROCEEDING SHALL BE TRIED BEFORE A COURT AND NOT BEFORE A JURY.</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Signatures appear on following page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Delivered as of the day and year first above written.</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CARLOS ABAUNZA</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tabs>
          <w:tab w:leader="none" w:pos="33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Carlos Abaunza, Chief Financial Officer</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LASALLE BANK NATIONAL ASSOCIATION</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ROBERT LOZANO</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tabs>
          <w:tab w:leader="none" w:pos="3400" w:val="left"/>
        </w:tabs>
        <w:rPr>
          <w:sz w:val="20"/>
          <w:szCs w:val="20"/>
          <w:color w:val="auto"/>
        </w:rPr>
      </w:pPr>
      <w:r>
        <w:rPr>
          <w:rFonts w:ascii="Courier New" w:cs="Courier New" w:eastAsia="Courier New" w:hAnsi="Courier New"/>
          <w:sz w:val="15"/>
          <w:szCs w:val="15"/>
          <w:color w:val="auto"/>
        </w:rPr>
        <w:t>Title:</w:t>
        <w:tab/>
        <w:t>Robert Lozano, First Vice President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line="509" w:lineRule="auto"/>
        <w:rPr>
          <w:sz w:val="20"/>
          <w:szCs w:val="20"/>
          <w:color w:val="auto"/>
        </w:rPr>
      </w:pPr>
      <w:r>
        <w:rPr>
          <w:rFonts w:ascii="Courier New" w:cs="Courier New" w:eastAsia="Courier New" w:hAnsi="Courier New"/>
          <w:sz w:val="14"/>
          <w:szCs w:val="14"/>
          <w:color w:val="auto"/>
        </w:rPr>
        <w:t>STATE OF NEW YORK COUNTY OF BRONX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)SS:</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1500" w:space="600"/>
            <w:col w:w="8139"/>
          </w:cols>
          <w:pgMar w:left="220" w:top="617" w:right="1440" w:bottom="1440" w:gutter="0" w:footer="0" w:header="0"/>
          <w:type w:val="continuous"/>
        </w:sect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foregoing instrument was acknowledged before me this 7th day of December, 2001 by Carlos Abaunza, Chief Financial Officer of World Fuel Services Corporation.</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Personally Known______OR Produced Identification</w:t>
        <w:tab/>
        <w:t>X</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Type of Identification Produced</w:t>
      </w:r>
      <w:r>
        <w:rPr>
          <w:sz w:val="20"/>
          <w:szCs w:val="20"/>
          <w:color w:val="auto"/>
        </w:rPr>
        <w:tab/>
      </w:r>
      <w:r>
        <w:rPr>
          <w:rFonts w:ascii="Courier New" w:cs="Courier New" w:eastAsia="Courier New" w:hAnsi="Courier New"/>
          <w:sz w:val="14"/>
          <w:szCs w:val="14"/>
          <w:color w:val="auto"/>
        </w:rPr>
        <w:t>Driver's License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Print or Stamp Name: Miriam L. Mercado</w:t>
      </w:r>
    </w:p>
    <w:p>
      <w:pPr>
        <w:ind w:left="2800"/>
        <w:spacing w:after="0" w:line="237" w:lineRule="auto"/>
        <w:rPr>
          <w:sz w:val="20"/>
          <w:szCs w:val="20"/>
          <w:color w:val="auto"/>
        </w:rPr>
      </w:pPr>
      <w:r>
        <w:rPr>
          <w:rFonts w:ascii="Courier New" w:cs="Courier New" w:eastAsia="Courier New" w:hAnsi="Courier New"/>
          <w:sz w:val="15"/>
          <w:szCs w:val="15"/>
          <w:color w:val="auto"/>
        </w:rPr>
        <w:t>Notary Public, State of New York at Large</w:t>
      </w:r>
    </w:p>
    <w:p>
      <w:pPr>
        <w:ind w:left="2800"/>
        <w:spacing w:after="0" w:line="238" w:lineRule="auto"/>
        <w:rPr>
          <w:sz w:val="20"/>
          <w:szCs w:val="20"/>
          <w:color w:val="auto"/>
        </w:rPr>
      </w:pPr>
      <w:r>
        <w:rPr>
          <w:rFonts w:ascii="Courier New" w:cs="Courier New" w:eastAsia="Courier New" w:hAnsi="Courier New"/>
          <w:sz w:val="15"/>
          <w:szCs w:val="15"/>
          <w:color w:val="auto"/>
        </w:rPr>
        <w:t>Commission No.:01ME6019692</w:t>
      </w:r>
    </w:p>
    <w:p>
      <w:pPr>
        <w:ind w:left="2800"/>
        <w:spacing w:after="0"/>
        <w:tabs>
          <w:tab w:leader="none" w:pos="4880" w:val="left"/>
        </w:tabs>
        <w:rPr>
          <w:sz w:val="20"/>
          <w:szCs w:val="20"/>
          <w:color w:val="auto"/>
        </w:rPr>
      </w:pPr>
      <w:r>
        <w:rPr>
          <w:rFonts w:ascii="Courier New" w:cs="Courier New" w:eastAsia="Courier New" w:hAnsi="Courier New"/>
          <w:sz w:val="15"/>
          <w:szCs w:val="15"/>
          <w:color w:val="auto"/>
        </w:rPr>
        <w:t>My Commission Expires:</w:t>
      </w:r>
      <w:r>
        <w:rPr>
          <w:sz w:val="20"/>
          <w:szCs w:val="20"/>
          <w:color w:val="auto"/>
        </w:rPr>
        <w:tab/>
      </w:r>
      <w:r>
        <w:rPr>
          <w:rFonts w:ascii="Courier New" w:cs="Courier New" w:eastAsia="Courier New" w:hAnsi="Courier New"/>
          <w:sz w:val="14"/>
          <w:szCs w:val="14"/>
          <w:color w:val="auto"/>
        </w:rPr>
        <w:t>February 16, 2003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type w:val="continuous"/>
        </w:sectPr>
      </w:pPr>
    </w:p>
    <w:bookmarkStart w:id="97" w:name="page98"/>
    <w:bookmarkEnd w:id="97"/>
    <w:p>
      <w:pPr>
        <w:spacing w:after="0"/>
        <w:tabs>
          <w:tab w:leader="none" w:pos="1740" w:val="left"/>
        </w:tabs>
        <w:rPr>
          <w:sz w:val="20"/>
          <w:szCs w:val="20"/>
          <w:color w:val="auto"/>
        </w:rPr>
      </w:pPr>
      <w:r>
        <w:rPr>
          <w:rFonts w:ascii="Courier New" w:cs="Courier New" w:eastAsia="Courier New" w:hAnsi="Courier New"/>
          <w:sz w:val="15"/>
          <w:szCs w:val="15"/>
          <w:color w:val="auto"/>
        </w:rPr>
        <w:t>STATE OF FLORIDA</w:t>
      </w:r>
      <w:r>
        <w:rPr>
          <w:sz w:val="20"/>
          <w:szCs w:val="20"/>
          <w:color w:val="auto"/>
        </w:rPr>
        <w:tab/>
      </w:r>
      <w:r>
        <w:rPr>
          <w:rFonts w:ascii="Courier New" w:cs="Courier New" w:eastAsia="Courier New" w:hAnsi="Courier New"/>
          <w:sz w:val="12"/>
          <w:szCs w:val="12"/>
          <w:color w:val="auto"/>
        </w:rPr>
        <w:t>)</w:t>
      </w:r>
    </w:p>
    <w:p>
      <w:pPr>
        <w:ind w:left="1940" w:hanging="181"/>
        <w:spacing w:after="0" w:line="237" w:lineRule="auto"/>
        <w:tabs>
          <w:tab w:leader="none" w:pos="19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COUNTY OF MIAMI-DADE)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foregoing instrument was acknowledged before me this 6th day of December, 2001 by Robert Lozano, First Vice President of LaSalle Bank National Association.</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Personally Known</w:t>
      </w:r>
      <w:r>
        <w:rPr>
          <w:sz w:val="20"/>
          <w:szCs w:val="20"/>
          <w:color w:val="auto"/>
        </w:rPr>
        <w:tab/>
      </w:r>
      <w:r>
        <w:rPr>
          <w:rFonts w:ascii="Courier New" w:cs="Courier New" w:eastAsia="Courier New" w:hAnsi="Courier New"/>
          <w:sz w:val="14"/>
          <w:szCs w:val="14"/>
          <w:color w:val="auto"/>
        </w:rPr>
        <w:t>X OR Produced Identification ____________</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 of Identification Produced 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Print or Stamp Name: Stuart D. Ames, Esq.</w:t>
      </w:r>
    </w:p>
    <w:p>
      <w:pPr>
        <w:ind w:left="2640"/>
        <w:spacing w:after="0" w:line="237" w:lineRule="auto"/>
        <w:rPr>
          <w:sz w:val="20"/>
          <w:szCs w:val="20"/>
          <w:color w:val="auto"/>
        </w:rPr>
      </w:pPr>
      <w:r>
        <w:rPr>
          <w:rFonts w:ascii="Courier New" w:cs="Courier New" w:eastAsia="Courier New" w:hAnsi="Courier New"/>
          <w:sz w:val="15"/>
          <w:szCs w:val="15"/>
          <w:color w:val="auto"/>
        </w:rPr>
        <w:t>Notary Public, State of Florida at Large</w:t>
      </w:r>
    </w:p>
    <w:p>
      <w:pPr>
        <w:ind w:left="2640"/>
        <w:spacing w:after="0" w:line="238" w:lineRule="auto"/>
        <w:rPr>
          <w:sz w:val="20"/>
          <w:szCs w:val="20"/>
          <w:color w:val="auto"/>
        </w:rPr>
      </w:pPr>
      <w:r>
        <w:rPr>
          <w:rFonts w:ascii="Courier New" w:cs="Courier New" w:eastAsia="Courier New" w:hAnsi="Courier New"/>
          <w:sz w:val="15"/>
          <w:szCs w:val="15"/>
          <w:color w:val="auto"/>
        </w:rPr>
        <w:t>Commission No.: CC884570</w:t>
      </w:r>
    </w:p>
    <w:p>
      <w:pPr>
        <w:ind w:left="2640"/>
        <w:spacing w:after="0"/>
        <w:tabs>
          <w:tab w:leader="none" w:pos="4720" w:val="left"/>
        </w:tabs>
        <w:rPr>
          <w:sz w:val="20"/>
          <w:szCs w:val="20"/>
          <w:color w:val="auto"/>
        </w:rPr>
      </w:pPr>
      <w:r>
        <w:rPr>
          <w:rFonts w:ascii="Courier New" w:cs="Courier New" w:eastAsia="Courier New" w:hAnsi="Courier New"/>
          <w:sz w:val="15"/>
          <w:szCs w:val="15"/>
          <w:color w:val="auto"/>
        </w:rPr>
        <w:t>My Commission Expires:</w:t>
      </w:r>
      <w:r>
        <w:rPr>
          <w:sz w:val="20"/>
          <w:szCs w:val="20"/>
          <w:color w:val="auto"/>
        </w:rPr>
        <w:tab/>
      </w:r>
      <w:r>
        <w:rPr>
          <w:rFonts w:ascii="Courier New" w:cs="Courier New" w:eastAsia="Courier New" w:hAnsi="Courier New"/>
          <w:sz w:val="14"/>
          <w:szCs w:val="14"/>
          <w:color w:val="auto"/>
        </w:rPr>
        <w:t>November 26, 2003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98" w:name="page99"/>
    <w:bookmarkEnd w:id="98"/>
    <w:p>
      <w:pPr>
        <w:ind w:left="2800"/>
        <w:spacing w:after="0"/>
        <w:rPr>
          <w:sz w:val="20"/>
          <w:szCs w:val="20"/>
          <w:color w:val="auto"/>
        </w:rPr>
      </w:pPr>
      <w:r>
        <w:rPr>
          <w:rFonts w:ascii="Courier New" w:cs="Courier New" w:eastAsia="Courier New" w:hAnsi="Courier New"/>
          <w:sz w:val="15"/>
          <w:szCs w:val="15"/>
          <w:color w:val="auto"/>
        </w:rPr>
        <w:t>PRICING SCHEDULE</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Eurodollar Margin, the Prime Rate Margin, the Non-Use Fee Rate and the Letter of Credit Fee Rate shall be determined as set forth below.</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Eurodollar Margin, the Prime Rate Margin, the Non-Use Fee Rate and the Letter of Credit Fee Rate shall be equal to the applicable rate per annum set forth in the table below opposite the applicable Total Liabilities to Tangible Net Worth Ratio:</w:t>
      </w:r>
    </w:p>
    <w:p>
      <w:pPr>
        <w:spacing w:after="0" w:line="200" w:lineRule="exact"/>
        <w:rPr>
          <w:sz w:val="20"/>
          <w:szCs w:val="20"/>
          <w:color w:val="auto"/>
        </w:rPr>
      </w:pPr>
    </w:p>
    <w:p>
      <w:pPr>
        <w:spacing w:after="0" w:line="312" w:lineRule="exact"/>
        <w:rPr>
          <w:sz w:val="20"/>
          <w:szCs w:val="20"/>
          <w:color w:val="auto"/>
        </w:r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Letter of</w:t>
      </w:r>
    </w:p>
    <w:p>
      <w:pPr>
        <w:ind w:left="3680"/>
        <w:spacing w:after="0"/>
        <w:tabs>
          <w:tab w:leader="none" w:pos="4800" w:val="left"/>
          <w:tab w:leader="none" w:pos="5940" w:val="left"/>
          <w:tab w:leader="none" w:pos="7340" w:val="left"/>
        </w:tabs>
        <w:rPr>
          <w:sz w:val="20"/>
          <w:szCs w:val="20"/>
          <w:color w:val="auto"/>
        </w:rPr>
      </w:pPr>
      <w:r>
        <w:rPr>
          <w:rFonts w:ascii="Courier New" w:cs="Courier New" w:eastAsia="Courier New" w:hAnsi="Courier New"/>
          <w:sz w:val="15"/>
          <w:szCs w:val="15"/>
          <w:color w:val="auto"/>
        </w:rPr>
        <w:t>Eurodollar</w:t>
        <w:tab/>
        <w:t>Prime Rate</w:t>
        <w:tab/>
        <w:t>Non-Use Fee</w:t>
      </w:r>
      <w:r>
        <w:rPr>
          <w:sz w:val="20"/>
          <w:szCs w:val="20"/>
          <w:color w:val="auto"/>
        </w:rPr>
        <w:tab/>
      </w:r>
      <w:r>
        <w:rPr>
          <w:rFonts w:ascii="Courier New" w:cs="Courier New" w:eastAsia="Courier New" w:hAnsi="Courier New"/>
          <w:sz w:val="14"/>
          <w:szCs w:val="14"/>
          <w:color w:val="auto"/>
        </w:rPr>
        <w:t>Credit Fee</w:t>
      </w:r>
    </w:p>
    <w:p>
      <w:pPr>
        <w:spacing w:after="0"/>
        <w:tabs>
          <w:tab w:leader="none" w:pos="3660" w:val="left"/>
          <w:tab w:leader="none" w:pos="4980" w:val="left"/>
          <w:tab w:leader="none" w:pos="6200" w:val="left"/>
          <w:tab w:leader="none" w:pos="7340" w:val="left"/>
        </w:tabs>
        <w:rPr>
          <w:sz w:val="20"/>
          <w:szCs w:val="20"/>
          <w:color w:val="auto"/>
        </w:rPr>
      </w:pPr>
      <w:r>
        <w:rPr>
          <w:rFonts w:ascii="Courier New" w:cs="Courier New" w:eastAsia="Courier New" w:hAnsi="Courier New"/>
          <w:sz w:val="15"/>
          <w:szCs w:val="15"/>
          <w:color w:val="auto"/>
        </w:rPr>
        <w:t>Total Liabilities/Tangible Net Worth</w:t>
      </w:r>
      <w:r>
        <w:rPr>
          <w:sz w:val="20"/>
          <w:szCs w:val="20"/>
          <w:color w:val="auto"/>
        </w:rPr>
        <w:tab/>
      </w: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4"/>
          <w:szCs w:val="14"/>
          <w:color w:val="auto"/>
        </w:rPr>
        <w:t>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 2.50x</w:t>
            </w:r>
          </w:p>
        </w:tc>
        <w:tc>
          <w:tcPr>
            <w:tcW w:w="2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-0.75%</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2.25 ** 2.50x</w:t>
            </w:r>
          </w:p>
        </w:tc>
        <w:tc>
          <w:tcPr>
            <w:tcW w:w="2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1.375%</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 2.00x ** 2.25x</w:t>
            </w:r>
          </w:p>
        </w:tc>
        <w:tc>
          <w:tcPr>
            <w:tcW w:w="2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1.325%</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40" w:val="left"/>
          <w:tab w:leader="none" w:pos="3760" w:val="left"/>
          <w:tab w:leader="none" w:pos="5060" w:val="left"/>
          <w:tab w:leader="none" w:pos="6200" w:val="left"/>
          <w:tab w:leader="none" w:pos="7420" w:val="left"/>
        </w:tabs>
        <w:rPr>
          <w:sz w:val="20"/>
          <w:szCs w:val="20"/>
          <w:color w:val="auto"/>
        </w:rPr>
      </w:pPr>
      <w:r>
        <w:rPr>
          <w:rFonts w:ascii="Courier New" w:cs="Courier New" w:eastAsia="Courier New" w:hAnsi="Courier New"/>
          <w:sz w:val="15"/>
          <w:szCs w:val="15"/>
          <w:color w:val="auto"/>
        </w:rPr>
        <w:t>**</w:t>
        <w:tab/>
        <w:t>2.00x</w:t>
      </w:r>
      <w:r>
        <w:rPr>
          <w:sz w:val="20"/>
          <w:szCs w:val="20"/>
          <w:color w:val="auto"/>
        </w:rPr>
        <w:tab/>
      </w: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-1.50%</w:t>
      </w:r>
      <w:r>
        <w:rPr>
          <w:sz w:val="20"/>
          <w:szCs w:val="20"/>
          <w:color w:val="auto"/>
        </w:rPr>
        <w:tab/>
      </w:r>
      <w:r>
        <w:rPr>
          <w:rFonts w:ascii="Courier New" w:cs="Courier New" w:eastAsia="Courier New" w:hAnsi="Courier New"/>
          <w:sz w:val="15"/>
          <w:szCs w:val="15"/>
          <w:color w:val="auto"/>
        </w:rPr>
        <w:t>.200%</w:t>
      </w:r>
      <w:r>
        <w:rPr>
          <w:sz w:val="20"/>
          <w:szCs w:val="20"/>
          <w:color w:val="auto"/>
        </w:rPr>
        <w:tab/>
      </w:r>
      <w:r>
        <w:rPr>
          <w:rFonts w:ascii="Courier New" w:cs="Courier New" w:eastAsia="Courier New" w:hAnsi="Courier New"/>
          <w:sz w:val="15"/>
          <w:szCs w:val="15"/>
          <w:color w:val="auto"/>
        </w:rPr>
        <w:t>.75%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Eurodollar Margin, the Prime Rate Margin, the Non-Use Fee Rate and the Letter of Credit Fee Rate shall be adjusted, to the extent applicable, on the 60th (or, in the case of the last Fiscal Quarter of each Fiscal Year, 105th) day after the end of each Fiscal Quarter based on the Total Liabilities to Tangible Net Worth Ratio as of the last day of such Fiscal Quarter. Notwithstanding the foregoing, no reduction to the foregoing interest rate margins or fee rates shall become effective at any time when an Event of Default or Unmatured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right="6639" w:firstLine="10"/>
        <w:spacing w:after="0" w:line="234" w:lineRule="auto"/>
        <w:tabs>
          <w:tab w:leader="none" w:pos="1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sign indicates a negative number. ** less than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more than or equal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upperLetter"/>
      <w:start w:val="24"/>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1)"/>
      <w:numFmt w:val="decimal"/>
      <w:start w:val="2"/>
    </w:lvl>
  </w:abstractNum>
  <w:abstractNum w:abstractNumId="3">
    <w:nsid w:val="39386575"/>
    <w:multiLevelType w:val="hybridMultilevel"/>
    <w:lvl w:ilvl="0">
      <w:lvlJc w:val="left"/>
      <w:lvlText w:val="(%1)"/>
      <w:numFmt w:val="decimal"/>
      <w:start w:val="3"/>
    </w:lvl>
  </w:abstractNum>
  <w:abstractNum w:abstractNumId="4">
    <w:nsid w:val="1CF10FD8"/>
    <w:multiLevelType w:val="hybridMultilevel"/>
    <w:lvl w:ilvl="0">
      <w:lvlJc w:val="left"/>
      <w:lvlText w:val="(%1)"/>
      <w:numFmt w:val="decimal"/>
      <w:start w:val="4"/>
    </w:lvl>
  </w:abstractNum>
  <w:abstractNum w:abstractNumId="5">
    <w:nsid w:val="180115BE"/>
    <w:multiLevelType w:val="hybridMultilevel"/>
    <w:lvl w:ilvl="0">
      <w:lvlJc w:val="left"/>
      <w:lvlText w:val="(%1)"/>
      <w:numFmt w:val="decimal"/>
      <w:start w:val="5"/>
    </w:lvl>
  </w:abstractNum>
  <w:abstractNum w:abstractNumId="6">
    <w:nsid w:val="235BA861"/>
    <w:multiLevelType w:val="hybridMultilevel"/>
    <w:lvl w:ilvl="0">
      <w:lvlJc w:val="left"/>
      <w:lvlText w:val="(%1)"/>
      <w:numFmt w:val="decimal"/>
      <w:start w:val="2"/>
    </w:lvl>
  </w:abstractNum>
  <w:abstractNum w:abstractNumId="7">
    <w:nsid w:val="47398C89"/>
    <w:multiLevelType w:val="hybridMultilevel"/>
    <w:lvl w:ilvl="0">
      <w:lvlJc w:val="left"/>
      <w:lvlText w:val="(%1)"/>
      <w:numFmt w:val="decimal"/>
      <w:start w:val="6"/>
    </w:lvl>
  </w:abstractNum>
  <w:abstractNum w:abstractNumId="8">
    <w:nsid w:val="354FE9F9"/>
    <w:multiLevelType w:val="hybridMultilevel"/>
    <w:lvl w:ilvl="0">
      <w:lvlJc w:val="left"/>
      <w:lvlText w:val="(%1)"/>
      <w:numFmt w:val="decimal"/>
      <w:start w:val="7"/>
    </w:lvl>
  </w:abstractNum>
  <w:abstractNum w:abstractNumId="9">
    <w:nsid w:val="15B5AF5C"/>
    <w:multiLevelType w:val="hybridMultilevel"/>
    <w:lvl w:ilvl="0">
      <w:lvlJc w:val="left"/>
      <w:lvlText w:val="(%1)"/>
      <w:numFmt w:val="decimal"/>
      <w:start w:val="8"/>
    </w:lvl>
  </w:abstractNum>
  <w:abstractNum w:abstractNumId="10">
    <w:nsid w:val="741226BB"/>
    <w:multiLevelType w:val="hybridMultilevel"/>
    <w:lvl w:ilvl="0">
      <w:lvlJc w:val="left"/>
      <w:lvlText w:val="(%1)"/>
      <w:numFmt w:val="decimal"/>
      <w:start w:val="9"/>
    </w:lvl>
  </w:abstractNum>
  <w:abstractNum w:abstractNumId="11">
    <w:nsid w:val="D34B6A8"/>
    <w:multiLevelType w:val="hybridMultilevel"/>
    <w:lvl w:ilvl="0">
      <w:lvlJc w:val="left"/>
      <w:lvlText w:val="%1"/>
      <w:numFmt w:val="decimal"/>
      <w:start w:val="474"/>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6">
    <w:nsid w:val="77AE35EB"/>
    <w:multiLevelType w:val="hybridMultilevel"/>
    <w:lvl w:ilvl="0">
      <w:lvlJc w:val="left"/>
      <w:lvlText w:val="%1"/>
      <w:numFmt w:val="decimal"/>
      <w:start w:val="10"/>
    </w:lvl>
  </w:abstractNum>
  <w:abstractNum w:abstractNumId="17">
    <w:nsid w:val="579BE4F1"/>
    <w:multiLevelType w:val="hybridMultilevel"/>
    <w:lvl w:ilvl="0">
      <w:lvlJc w:val="left"/>
      <w:lvlText w:val="%1"/>
      <w:numFmt w:val="decimal"/>
      <w:start w:val="10"/>
    </w:lvl>
  </w:abstractNum>
  <w:abstractNum w:abstractNumId="18">
    <w:nsid w:val="310C50B3"/>
    <w:multiLevelType w:val="hybridMultilevel"/>
    <w:lvl w:ilvl="0">
      <w:lvlJc w:val="left"/>
      <w:lvlText w:val="%1."/>
      <w:numFmt w:val="decimal"/>
      <w:start w:val="2"/>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
    <w:nsid w:val="25A70BF7"/>
    <w:multiLevelType w:val="hybridMultilevel"/>
    <w:lvl w:ilvl="0">
      <w:lvlJc w:val="left"/>
      <w:lvlText w:val="%1."/>
      <w:numFmt w:val="decimal"/>
      <w:start w:val="128"/>
    </w:lvl>
    <w:lvl w:ilvl="1">
      <w:lvlJc w:val="left"/>
      <w:lvlText w:val="(%2)"/>
      <w:numFmt w:val="lowerLetter"/>
      <w:start w:val="2"/>
    </w:lvl>
    <w:lvl w:ilvl="2">
      <w:lvlJc w:val="left"/>
      <w:lvlText w:val="(%3)"/>
      <w:numFmt w:val="lowerLetter"/>
      <w:start w:val="61"/>
    </w:lvl>
  </w:abstractNum>
  <w:abstractNum w:abstractNumId="22">
    <w:nsid w:val="1DBABF00"/>
    <w:multiLevelType w:val="hybridMultilevel"/>
    <w:lvl w:ilvl="0">
      <w:lvlJc w:val="left"/>
      <w:lvlText w:val="(%1)"/>
      <w:numFmt w:val="lowerLetter"/>
      <w:start w:val="6"/>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2"/>
    </w:lvl>
  </w:abstractNum>
  <w:abstractNum w:abstractNumId="25">
    <w:nsid w:val="1381823A"/>
    <w:multiLevelType w:val="hybridMultilevel"/>
    <w:lvl w:ilvl="0">
      <w:lvlJc w:val="left"/>
      <w:lvlText w:val="%1."/>
      <w:numFmt w:val="decimal"/>
      <w:start w:val="3"/>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Roman"/>
      <w:start w:val="3"/>
    </w:lvl>
  </w:abstractNum>
  <w:abstractNum w:abstractNumId="28">
    <w:nsid w:val="6590700B"/>
    <w:multiLevelType w:val="hybridMultilevel"/>
    <w:lvl w:ilvl="0">
      <w:lvlJc w:val="left"/>
      <w:lvlText w:val="(%1)"/>
      <w:numFmt w:val="lowerLetter"/>
      <w:start w:val="1"/>
    </w:lvl>
  </w:abstractNum>
  <w:abstractNum w:abstractNumId="29">
    <w:nsid w:val="15014ACB"/>
    <w:multiLevelType w:val="hybridMultilevel"/>
    <w:lvl w:ilvl="0">
      <w:lvlJc w:val="left"/>
      <w:lvlText w:val="(%1)"/>
      <w:numFmt w:val="lowerRoman"/>
      <w:start w:val="3"/>
    </w:lvl>
  </w:abstractNum>
  <w:abstractNum w:abstractNumId="30">
    <w:nsid w:val="5F5E7FD0"/>
    <w:multiLevelType w:val="hybridMultilevel"/>
    <w:lvl w:ilvl="0">
      <w:lvlJc w:val="left"/>
      <w:lvlText w:val="%1."/>
      <w:numFmt w:val="decimal"/>
      <w:start w:val="4"/>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decimal"/>
      <w:start w:val="5"/>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1)"/>
      <w:numFmt w:val="lowerRoman"/>
      <w:start w:val="2"/>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1)"/>
      <w:numFmt w:val="lowerRoman"/>
      <w:start w:val="1"/>
    </w:lvl>
    <w:lvl w:ilvl="1">
      <w:lvlJc w:val="left"/>
      <w:lvlText w:val="(%2)"/>
      <w:numFmt w:val="lowerLetter"/>
      <w:start w:val="2"/>
    </w:lvl>
  </w:abstractNum>
  <w:abstractNum w:abstractNumId="37">
    <w:nsid w:val="661E3F1E"/>
    <w:multiLevelType w:val="hybridMultilevel"/>
    <w:lvl w:ilvl="0">
      <w:lvlJc w:val="left"/>
      <w:lvlText w:val="(%1)"/>
      <w:numFmt w:val="lowerLetter"/>
      <w:start w:val="3"/>
    </w:lvl>
    <w:lvl w:ilvl="1">
      <w:lvlJc w:val="left"/>
      <w:lvlText w:val="(%2)"/>
      <w:numFmt w:val="lowerRoman"/>
      <w:start w:val="1"/>
    </w:lvl>
  </w:abstractNum>
  <w:abstractNum w:abstractNumId="38">
    <w:nsid w:val="5DC79EA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39">
    <w:nsid w:val="540A471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0">
    <w:nsid w:val="7BD3EE7B"/>
    <w:multiLevelType w:val="hybridMultilevel"/>
    <w:lvl w:ilvl="0">
      <w:lvlJc w:val="left"/>
      <w:lvlText w:val="%1"/>
      <w:numFmt w:val="decimal"/>
      <w:start w:val="1"/>
    </w:lvl>
    <w:lvl w:ilvl="1">
      <w:lvlJc w:val="left"/>
      <w:lvlText w:val="(%2)"/>
      <w:numFmt w:val="lowerLetter"/>
      <w:start w:val="2"/>
    </w:lvl>
  </w:abstractNum>
  <w:abstractNum w:abstractNumId="41">
    <w:nsid w:val="51D9C564"/>
    <w:multiLevelType w:val="hybridMultilevel"/>
    <w:lvl w:ilvl="0">
      <w:lvlJc w:val="left"/>
      <w:lvlText w:val="%1."/>
      <w:numFmt w:val="decimal"/>
      <w:start w:val="7"/>
    </w:lvl>
    <w:lvl w:ilvl="1">
      <w:lvlJc w:val="left"/>
      <w:lvlText w:val="%2"/>
      <w:numFmt w:val="lowerLetter"/>
      <w:start w:val="1"/>
    </w:lvl>
  </w:abstractNum>
  <w:abstractNum w:abstractNumId="42">
    <w:nsid w:val="613EFDC5"/>
    <w:multiLevelType w:val="hybridMultilevel"/>
    <w:lvl w:ilvl="0">
      <w:lvlJc w:val="left"/>
      <w:lvlText w:val="%1."/>
      <w:numFmt w:val="decimal"/>
      <w:start w:val="8"/>
    </w:lvl>
  </w:abstractNum>
  <w:abstractNum w:abstractNumId="43">
    <w:nsid w:val="BF72B14"/>
    <w:multiLevelType w:val="hybridMultilevel"/>
    <w:lvl w:ilvl="0">
      <w:lvlJc w:val="left"/>
      <w:lvlText w:val="%1."/>
      <w:numFmt w:val="decimal"/>
      <w:start w:val="9"/>
    </w:lvl>
  </w:abstractNum>
  <w:abstractNum w:abstractNumId="44">
    <w:nsid w:val="11447B73"/>
    <w:multiLevelType w:val="hybridMultilevel"/>
    <w:lvl w:ilvl="0">
      <w:lvlJc w:val="left"/>
      <w:lvlText w:val="%1."/>
      <w:numFmt w:val="decimal"/>
      <w:start w:val="10"/>
    </w:lvl>
    <w:lvl w:ilvl="1">
      <w:lvlJc w:val="left"/>
      <w:lvlText w:val="(%2)"/>
      <w:numFmt w:val="lowerLetter"/>
      <w:start w:val="1"/>
    </w:lvl>
  </w:abstractNum>
  <w:abstractNum w:abstractNumId="45">
    <w:nsid w:val="42963E5A"/>
    <w:multiLevelType w:val="hybridMultilevel"/>
    <w:lvl w:ilvl="0">
      <w:lvlJc w:val="left"/>
      <w:lvlText w:val="(%1)"/>
      <w:numFmt w:val="lowerLetter"/>
      <w:start w:val="3"/>
    </w:lvl>
  </w:abstractNum>
  <w:abstractNum w:abstractNumId="46">
    <w:nsid w:val="A0382C5"/>
    <w:multiLevelType w:val="hybridMultilevel"/>
    <w:lvl w:ilvl="0">
      <w:lvlJc w:val="left"/>
      <w:lvlText w:val="(%1)"/>
      <w:numFmt w:val="lowerLetter"/>
      <w:start w:val="4"/>
    </w:lvl>
  </w:abstractNum>
  <w:abstractNum w:abstractNumId="47">
    <w:nsid w:val="8F2B15E"/>
    <w:multiLevelType w:val="hybridMultilevel"/>
    <w:lvl w:ilvl="0">
      <w:lvlJc w:val="left"/>
      <w:lvlText w:val="(%1)"/>
      <w:numFmt w:val="lowerLetter"/>
      <w:start w:val="5"/>
    </w:lvl>
  </w:abstractNum>
  <w:abstractNum w:abstractNumId="48">
    <w:nsid w:val="1A32234B"/>
    <w:multiLevelType w:val="hybridMultilevel"/>
    <w:lvl w:ilvl="0">
      <w:lvlJc w:val="left"/>
      <w:lvlText w:val="(%1)"/>
      <w:numFmt w:val="lowerLetter"/>
      <w:start w:val="6"/>
    </w:lvl>
  </w:abstractNum>
  <w:abstractNum w:abstractNumId="49">
    <w:nsid w:val="3B0FD379"/>
    <w:multiLevelType w:val="hybridMultilevel"/>
    <w:lvl w:ilvl="0">
      <w:lvlJc w:val="left"/>
      <w:lvlText w:val="(%1)"/>
      <w:numFmt w:val="lowerLetter"/>
      <w:start w:val="7"/>
    </w:lvl>
  </w:abstractNum>
  <w:abstractNum w:abstractNumId="50">
    <w:nsid w:val="68EB2F63"/>
    <w:multiLevelType w:val="hybridMultilevel"/>
    <w:lvl w:ilvl="0">
      <w:lvlJc w:val="left"/>
      <w:lvlText w:val="(%1)"/>
      <w:numFmt w:val="upperLetter"/>
      <w:start w:val="9"/>
    </w:lvl>
  </w:abstractNum>
  <w:abstractNum w:abstractNumId="51">
    <w:nsid w:val="4962813B"/>
    <w:multiLevelType w:val="hybridMultilevel"/>
    <w:lvl w:ilvl="0">
      <w:lvlJc w:val="left"/>
      <w:lvlText w:val="(%1)"/>
      <w:numFmt w:val="upperLetter"/>
      <w:start w:val="1"/>
    </w:lvl>
  </w:abstractNum>
  <w:abstractNum w:abstractNumId="52">
    <w:nsid w:val="60B6DF70"/>
    <w:multiLevelType w:val="hybridMultilevel"/>
    <w:lvl w:ilvl="0">
      <w:lvlJc w:val="left"/>
      <w:lvlText w:val="(%1)"/>
      <w:numFmt w:val="upperLetter"/>
      <w:start w:val="61"/>
    </w:lvl>
  </w:abstractNum>
  <w:abstractNum w:abstractNumId="53">
    <w:nsid w:val="6A5EE64"/>
    <w:multiLevelType w:val="hybridMultilevel"/>
    <w:lvl w:ilvl="0">
      <w:lvlJc w:val="left"/>
      <w:lvlText w:val="(%1)"/>
      <w:numFmt w:val="upperLetter"/>
      <w:start w:val="22"/>
    </w:lvl>
  </w:abstractNum>
  <w:abstractNum w:abstractNumId="54">
    <w:nsid w:val="14330624"/>
    <w:multiLevelType w:val="hybridMultilevel"/>
    <w:lvl w:ilvl="0">
      <w:lvlJc w:val="left"/>
      <w:lvlText w:val="(%1)"/>
      <w:numFmt w:val="lowerRoman"/>
      <w:start w:val="2"/>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1)"/>
      <w:numFmt w:val="lowerLetter"/>
      <w:start w:val="3"/>
    </w:lvl>
  </w:abstractNum>
  <w:abstractNum w:abstractNumId="57">
    <w:nsid w:val="71EA1109"/>
    <w:multiLevelType w:val="hybridMultilevel"/>
    <w:lvl w:ilvl="0">
      <w:lvlJc w:val="left"/>
      <w:lvlText w:val="(%1)"/>
      <w:numFmt w:val="lowerRoman"/>
      <w:start w:val="1"/>
    </w:lvl>
  </w:abstractNum>
  <w:abstractNum w:abstractNumId="58">
    <w:nsid w:val="100F59DC"/>
    <w:multiLevelType w:val="hybridMultilevel"/>
    <w:lvl w:ilvl="0">
      <w:lvlJc w:val="left"/>
      <w:lvlText w:val="(%1)"/>
      <w:numFmt w:val="lowerRoman"/>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3"/>
    </w:lvl>
  </w:abstractNum>
  <w:abstractNum w:abstractNumId="63">
    <w:nsid w:val="885E1B"/>
    <w:multiLevelType w:val="hybridMultilevel"/>
    <w:lvl w:ilvl="0">
      <w:lvlJc w:val="left"/>
      <w:lvlText w:val="(%1)"/>
      <w:numFmt w:val="lowerLetter"/>
      <w:start w:val="5"/>
    </w:lvl>
  </w:abstractNum>
  <w:abstractNum w:abstractNumId="64">
    <w:nsid w:val="76272110"/>
    <w:multiLevelType w:val="hybridMultilevel"/>
    <w:lvl w:ilvl="0">
      <w:lvlJc w:val="left"/>
      <w:lvlText w:val="(%1)"/>
      <w:numFmt w:val="lowerLetter"/>
      <w:start w:val="2"/>
    </w:lvl>
  </w:abstractNum>
  <w:abstractNum w:abstractNumId="65">
    <w:nsid w:val="4C04A8AF"/>
    <w:multiLevelType w:val="hybridMultilevel"/>
    <w:lvl w:ilvl="0">
      <w:lvlJc w:val="left"/>
      <w:lvlText w:val="(%1)"/>
      <w:numFmt w:val="lowerRoman"/>
      <w:start w:val="1"/>
    </w:lvl>
  </w:abstractNum>
  <w:abstractNum w:abstractNumId="66">
    <w:nsid w:val="1716703B"/>
    <w:multiLevelType w:val="hybridMultilevel"/>
    <w:lvl w:ilvl="0">
      <w:lvlJc w:val="left"/>
      <w:lvlText w:val="(%1)"/>
      <w:numFmt w:val="lowerLetter"/>
      <w:start w:val="2"/>
    </w:lvl>
  </w:abstractNum>
  <w:abstractNum w:abstractNumId="67">
    <w:nsid w:val="14E17E33"/>
    <w:multiLevelType w:val="hybridMultilevel"/>
    <w:lvl w:ilvl="0">
      <w:lvlJc w:val="left"/>
      <w:lvlText w:val="%1"/>
      <w:numFmt w:val="lowerLetter"/>
      <w:start w:val="1"/>
    </w:lvl>
    <w:lvl w:ilvl="1">
      <w:lvlJc w:val="left"/>
      <w:lvlText w:val="(%2)"/>
      <w:numFmt w:val="lowerRoman"/>
      <w:start w:val="1"/>
    </w:lvl>
  </w:abstractNum>
  <w:abstractNum w:abstractNumId="68">
    <w:nsid w:val="3222E7CD"/>
    <w:multiLevelType w:val="hybridMultilevel"/>
    <w:lvl w:ilvl="0">
      <w:lvlJc w:val="left"/>
      <w:lvlText w:val="(%1)"/>
      <w:numFmt w:val="lowerLetter"/>
      <w:start w:val="3"/>
    </w:lvl>
    <w:lvl w:ilvl="1">
      <w:lvlJc w:val="left"/>
      <w:lvlText w:val="%2"/>
      <w:numFmt w:val="lowerRoman"/>
      <w:start w:val="1"/>
    </w:lvl>
  </w:abstractNum>
  <w:abstractNum w:abstractNumId="69">
    <w:nsid w:val="74DE0EE3"/>
    <w:multiLevelType w:val="hybridMultilevel"/>
    <w:lvl w:ilvl="0">
      <w:lvlJc w:val="left"/>
      <w:lvlText w:val="(%1)"/>
      <w:numFmt w:val="lowerLetter"/>
      <w:start w:val="1"/>
    </w:lvl>
  </w:abstractNum>
  <w:abstractNum w:abstractNumId="70">
    <w:nsid w:val="68EBC550"/>
    <w:multiLevelType w:val="hybridMultilevel"/>
    <w:lvl w:ilvl="0">
      <w:lvlJc w:val="left"/>
      <w:lvlText w:val="(%1)"/>
      <w:numFmt w:val="lowerLetter"/>
      <w:start w:val="25"/>
    </w:lvl>
  </w:abstractNum>
  <w:abstractNum w:abstractNumId="71">
    <w:nsid w:val="2DF6D648"/>
    <w:multiLevelType w:val="hybridMultilevel"/>
    <w:lvl w:ilvl="0">
      <w:lvlJc w:val="left"/>
      <w:lvlText w:val="(%1)"/>
      <w:numFmt w:val="lowerLetter"/>
      <w:start w:val="1"/>
    </w:lvl>
  </w:abstractNum>
  <w:abstractNum w:abstractNumId="72">
    <w:nsid w:val="46B7D447"/>
    <w:multiLevelType w:val="hybridMultilevel"/>
    <w:lvl w:ilvl="0">
      <w:lvlJc w:val="left"/>
      <w:lvlText w:val="(%1)"/>
      <w:numFmt w:val="lowerLetter"/>
      <w:start w:val="2"/>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3"/>
    </w:lvl>
  </w:abstractNum>
  <w:abstractNum w:abstractNumId="75">
    <w:nsid w:val="57FC4FBB"/>
    <w:multiLevelType w:val="hybridMultilevel"/>
    <w:lvl w:ilvl="0">
      <w:lvlJc w:val="left"/>
      <w:lvlText w:val="(%1)"/>
      <w:numFmt w:val="lowerRoman"/>
      <w:start w:val="1"/>
    </w:lvl>
  </w:abstractNum>
  <w:abstractNum w:abstractNumId="76">
    <w:nsid w:val="CC1016F"/>
    <w:multiLevelType w:val="hybridMultilevel"/>
    <w:lvl w:ilvl="0">
      <w:lvlJc w:val="left"/>
      <w:lvlText w:val="(%1)"/>
      <w:numFmt w:val="lowerLetter"/>
      <w:start w:val="2"/>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2"/>
    </w:lvl>
  </w:abstractNum>
  <w:abstractNum w:abstractNumId="79">
    <w:nsid w:val="26F324BA"/>
    <w:multiLevelType w:val="hybridMultilevel"/>
    <w:lvl w:ilvl="0">
      <w:lvlJc w:val="left"/>
      <w:lvlText w:val="(%1)"/>
      <w:numFmt w:val="lowerLetter"/>
      <w:start w:val="2"/>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2"/>
    </w:lvl>
  </w:abstractNum>
  <w:abstractNum w:abstractNumId="82">
    <w:nsid w:val="7055A5F5"/>
    <w:multiLevelType w:val="hybridMultilevel"/>
    <w:lvl w:ilvl="0">
      <w:lvlJc w:val="left"/>
      <w:lvlText w:val="(%1)"/>
      <w:numFmt w:val="lowerLetter"/>
      <w:start w:val="3"/>
    </w:lvl>
  </w:abstractNum>
  <w:abstractNum w:abstractNumId="83">
    <w:nsid w:val="5FB8370B"/>
    <w:multiLevelType w:val="hybridMultilevel"/>
    <w:lvl w:ilvl="0">
      <w:lvlJc w:val="left"/>
      <w:lvlText w:val="(%1)"/>
      <w:numFmt w:val="lowerLetter"/>
      <w:start w:val="1"/>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3"/>
    </w:lvl>
  </w:abstractNum>
  <w:abstractNum w:abstractNumId="86">
    <w:nsid w:val="5FB8011C"/>
    <w:multiLevelType w:val="hybridMultilevel"/>
    <w:lvl w:ilvl="0">
      <w:lvlJc w:val="left"/>
      <w:lvlText w:val="(%1)"/>
      <w:numFmt w:val="lowerLetter"/>
      <w:start w:val="3"/>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Letter"/>
      <w:start w:val="3"/>
    </w:lvl>
  </w:abstractNum>
  <w:abstractNum w:abstractNumId="89">
    <w:nsid w:val="6FC75AF8"/>
    <w:multiLevelType w:val="hybridMultilevel"/>
    <w:lvl w:ilvl="0">
      <w:lvlJc w:val="left"/>
      <w:lvlText w:val="(%1)"/>
      <w:numFmt w:val="lowerLetter"/>
      <w:start w:val="5"/>
    </w:lvl>
  </w:abstractNum>
  <w:abstractNum w:abstractNumId="90">
    <w:nsid w:val="6A5F7029"/>
    <w:multiLevelType w:val="hybridMultilevel"/>
    <w:lvl w:ilvl="0">
      <w:lvlJc w:val="left"/>
      <w:lvlText w:val="(%1)"/>
      <w:numFmt w:val="lowerLetter"/>
      <w:start w:val="6"/>
    </w:lvl>
  </w:abstractNum>
  <w:abstractNum w:abstractNumId="91">
    <w:nsid w:val="7D5E18F8"/>
    <w:multiLevelType w:val="hybridMultilevel"/>
    <w:lvl w:ilvl="0">
      <w:lvlJc w:val="left"/>
      <w:lvlText w:val="(%1)"/>
      <w:numFmt w:val="lowerLetter"/>
      <w:start w:val="7"/>
    </w:lvl>
  </w:abstractNum>
  <w:abstractNum w:abstractNumId="92">
    <w:nsid w:val="5F3534A4"/>
    <w:multiLevelType w:val="hybridMultilevel"/>
    <w:lvl w:ilvl="0">
      <w:lvlJc w:val="left"/>
      <w:lvlText w:val="(%1)"/>
      <w:numFmt w:val="lowerLetter"/>
      <w:start w:val="8"/>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lowerLetter"/>
      <w:start w:val="4"/>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decimal"/>
      <w:start w:val="30"/>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2"/>
    </w:lvl>
  </w:abstractNum>
  <w:abstractNum w:abstractNumId="101">
    <w:nsid w:val="53299938"/>
    <w:multiLevelType w:val="hybridMultilevel"/>
    <w:lvl w:ilvl="0">
      <w:lvlJc w:val="left"/>
      <w:lvlText w:val="(%1)"/>
      <w:numFmt w:val="lowerLetter"/>
      <w:start w:val="3"/>
    </w:lvl>
  </w:abstractNum>
  <w:abstractNum w:abstractNumId="102">
    <w:nsid w:val="1FBFE8E0"/>
    <w:multiLevelType w:val="hybridMultilevel"/>
    <w:lvl w:ilvl="0">
      <w:lvlJc w:val="left"/>
      <w:lvlText w:val="(%1)"/>
      <w:numFmt w:val="lowerLetter"/>
      <w:start w:val="4"/>
    </w:lvl>
  </w:abstractNum>
  <w:abstractNum w:abstractNumId="103">
    <w:nsid w:val="5092CA79"/>
    <w:multiLevelType w:val="hybridMultilevel"/>
    <w:lvl w:ilvl="0">
      <w:lvlJc w:val="left"/>
      <w:lvlText w:val="(%1)"/>
      <w:numFmt w:val="lowerRoman"/>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Roman"/>
      <w:start w:val="4"/>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2019-12-13T16:27:03Z</dcterms:created>
  <dcterms:modified xsi:type="dcterms:W3CDTF">2019-12-13T16:27:03Z</dcterms:modified>
</cp:coreProperties>
</file>