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2244725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ind w:left="3380"/>
        <w:spacing w:after="0"/>
        <w:rPr>
          <w:sz w:val="20"/>
          <w:szCs w:val="20"/>
          <w:color w:val="auto"/>
        </w:rPr>
      </w:pPr>
      <w:r>
        <w:rPr>
          <w:rFonts w:ascii="Arial" w:cs="Arial" w:eastAsia="Arial" w:hAnsi="Arial"/>
          <w:sz w:val="24"/>
          <w:szCs w:val="24"/>
          <w:b w:val="1"/>
          <w:bCs w:val="1"/>
          <w:color w:val="auto"/>
        </w:rPr>
        <w:t>CURRENT REPORT</w:t>
      </w:r>
    </w:p>
    <w:p>
      <w:pPr>
        <w:spacing w:after="0" w:line="156" w:lineRule="exact"/>
        <w:rPr>
          <w:sz w:val="24"/>
          <w:szCs w:val="24"/>
          <w:color w:val="auto"/>
        </w:rPr>
      </w:pPr>
    </w:p>
    <w:p>
      <w:pPr>
        <w:ind w:left="1920"/>
        <w:spacing w:after="0"/>
        <w:rPr>
          <w:sz w:val="20"/>
          <w:szCs w:val="20"/>
          <w:color w:val="auto"/>
        </w:rPr>
      </w:pPr>
      <w:r>
        <w:rPr>
          <w:rFonts w:ascii="Arial" w:cs="Arial" w:eastAsia="Arial" w:hAnsi="Arial"/>
          <w:sz w:val="24"/>
          <w:szCs w:val="24"/>
          <w:b w:val="1"/>
          <w:bCs w:val="1"/>
          <w:color w:val="auto"/>
        </w:rPr>
        <w:t>PURSUANT TO SECTION 13 OR 15(d) OF THE</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2244725</wp:posOffset>
            </wp:positionH>
            <wp:positionV relativeFrom="paragraph">
              <wp:posOffset>168275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July 30, 2003</w:t>
      </w:r>
    </w:p>
    <w:p>
      <w:pPr>
        <w:spacing w:after="0" w:line="13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2244725</wp:posOffset>
            </wp:positionH>
            <wp:positionV relativeFrom="paragraph">
              <wp:posOffset>173990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WORLD FUEL SERVICES CORPORATION</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280" w:type="dxa"/>
        <w:tblCellMar>
          <w:top w:w="0" w:type="dxa"/>
          <w:left w:w="0" w:type="dxa"/>
          <w:bottom w:w="0" w:type="dxa"/>
          <w:right w:w="0" w:type="dxa"/>
        </w:tblCellMar>
      </w:tblPr>
      <w:tr>
        <w:trPr>
          <w:trHeight w:val="218"/>
        </w:trPr>
        <w:tc>
          <w:tcPr>
            <w:tcW w:w="4360" w:type="dxa"/>
            <w:vAlign w:val="bottom"/>
          </w:tcPr>
          <w:p>
            <w:pPr>
              <w:jc w:val="center"/>
              <w:ind w:right="1700"/>
              <w:spacing w:after="0"/>
              <w:rPr>
                <w:sz w:val="20"/>
                <w:szCs w:val="20"/>
                <w:color w:val="auto"/>
              </w:rPr>
            </w:pPr>
            <w:r>
              <w:rPr>
                <w:rFonts w:ascii="Arial" w:cs="Arial" w:eastAsia="Arial" w:hAnsi="Arial"/>
                <w:sz w:val="18"/>
                <w:szCs w:val="18"/>
                <w:b w:val="1"/>
                <w:bCs w:val="1"/>
                <w:color w:val="auto"/>
                <w:w w:val="89"/>
              </w:rPr>
              <w:t>Florida</w:t>
            </w:r>
          </w:p>
        </w:tc>
        <w:tc>
          <w:tcPr>
            <w:tcW w:w="3840" w:type="dxa"/>
            <w:vAlign w:val="bottom"/>
          </w:tcPr>
          <w:p>
            <w:pPr>
              <w:jc w:val="right"/>
              <w:ind w:right="542"/>
              <w:spacing w:after="0"/>
              <w:rPr>
                <w:sz w:val="20"/>
                <w:szCs w:val="20"/>
                <w:color w:val="auto"/>
              </w:rPr>
            </w:pPr>
            <w:r>
              <w:rPr>
                <w:rFonts w:ascii="Arial" w:cs="Arial" w:eastAsia="Arial" w:hAnsi="Arial"/>
                <w:sz w:val="18"/>
                <w:szCs w:val="18"/>
                <w:b w:val="1"/>
                <w:bCs w:val="1"/>
                <w:color w:val="auto"/>
              </w:rPr>
              <w:t>59-2459427</w:t>
            </w:r>
          </w:p>
        </w:tc>
      </w:tr>
      <w:tr>
        <w:trPr>
          <w:trHeight w:val="174"/>
        </w:trPr>
        <w:tc>
          <w:tcPr>
            <w:tcW w:w="4360" w:type="dxa"/>
            <w:vAlign w:val="bottom"/>
          </w:tcPr>
          <w:p>
            <w:pPr>
              <w:jc w:val="center"/>
              <w:ind w:right="1700"/>
              <w:spacing w:after="0"/>
              <w:rPr>
                <w:sz w:val="20"/>
                <w:szCs w:val="20"/>
                <w:color w:val="auto"/>
              </w:rPr>
            </w:pPr>
            <w:r>
              <w:rPr>
                <w:rFonts w:ascii="Arial" w:cs="Arial" w:eastAsia="Arial" w:hAnsi="Arial"/>
                <w:sz w:val="14"/>
                <w:szCs w:val="14"/>
                <w:b w:val="1"/>
                <w:bCs w:val="1"/>
                <w:color w:val="auto"/>
                <w:w w:val="88"/>
              </w:rPr>
              <w:t>(State or other jurisdiction of incorporation)</w:t>
            </w:r>
          </w:p>
        </w:tc>
        <w:tc>
          <w:tcPr>
            <w:tcW w:w="3840" w:type="dxa"/>
            <w:vAlign w:val="bottom"/>
          </w:tcPr>
          <w:p>
            <w:pPr>
              <w:jc w:val="center"/>
              <w:ind w:left="170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4360" w:type="dxa"/>
            <w:vAlign w:val="bottom"/>
          </w:tcPr>
          <w:p>
            <w:pPr>
              <w:jc w:val="center"/>
              <w:ind w:right="1700"/>
              <w:spacing w:after="0"/>
              <w:rPr>
                <w:sz w:val="20"/>
                <w:szCs w:val="20"/>
                <w:color w:val="auto"/>
              </w:rPr>
            </w:pPr>
            <w:r>
              <w:rPr>
                <w:rFonts w:ascii="Arial" w:cs="Arial" w:eastAsia="Arial" w:hAnsi="Arial"/>
                <w:sz w:val="18"/>
                <w:szCs w:val="18"/>
                <w:b w:val="1"/>
                <w:bCs w:val="1"/>
                <w:color w:val="auto"/>
                <w:w w:val="87"/>
              </w:rPr>
              <w:t>9800 N.W. 41st Street, Suite 400</w:t>
            </w:r>
          </w:p>
        </w:tc>
        <w:tc>
          <w:tcPr>
            <w:tcW w:w="3840" w:type="dxa"/>
            <w:vAlign w:val="bottom"/>
          </w:tcPr>
          <w:p>
            <w:pPr>
              <w:spacing w:after="0"/>
              <w:rPr>
                <w:sz w:val="24"/>
                <w:szCs w:val="24"/>
                <w:color w:val="auto"/>
              </w:rPr>
            </w:pPr>
          </w:p>
        </w:tc>
      </w:tr>
      <w:tr>
        <w:trPr>
          <w:trHeight w:val="218"/>
        </w:trPr>
        <w:tc>
          <w:tcPr>
            <w:tcW w:w="4360" w:type="dxa"/>
            <w:vAlign w:val="bottom"/>
          </w:tcPr>
          <w:p>
            <w:pPr>
              <w:jc w:val="center"/>
              <w:ind w:right="1700"/>
              <w:spacing w:after="0"/>
              <w:rPr>
                <w:sz w:val="20"/>
                <w:szCs w:val="20"/>
                <w:color w:val="auto"/>
              </w:rPr>
            </w:pPr>
            <w:r>
              <w:rPr>
                <w:rFonts w:ascii="Arial" w:cs="Arial" w:eastAsia="Arial" w:hAnsi="Arial"/>
                <w:sz w:val="18"/>
                <w:szCs w:val="18"/>
                <w:b w:val="1"/>
                <w:bCs w:val="1"/>
                <w:color w:val="auto"/>
                <w:w w:val="97"/>
              </w:rPr>
              <w:t>Miami</w:t>
            </w:r>
          </w:p>
        </w:tc>
        <w:tc>
          <w:tcPr>
            <w:tcW w:w="3840" w:type="dxa"/>
            <w:vAlign w:val="bottom"/>
          </w:tcPr>
          <w:p>
            <w:pPr>
              <w:jc w:val="right"/>
              <w:ind w:right="742"/>
              <w:spacing w:after="0"/>
              <w:rPr>
                <w:sz w:val="20"/>
                <w:szCs w:val="20"/>
                <w:color w:val="auto"/>
              </w:rPr>
            </w:pPr>
            <w:r>
              <w:rPr>
                <w:rFonts w:ascii="Arial" w:cs="Arial" w:eastAsia="Arial" w:hAnsi="Arial"/>
                <w:sz w:val="18"/>
                <w:szCs w:val="18"/>
                <w:b w:val="1"/>
                <w:bCs w:val="1"/>
                <w:color w:val="auto"/>
              </w:rPr>
              <w:t>33178</w:t>
            </w:r>
          </w:p>
        </w:tc>
      </w:tr>
      <w:tr>
        <w:trPr>
          <w:trHeight w:val="174"/>
        </w:trPr>
        <w:tc>
          <w:tcPr>
            <w:tcW w:w="4360" w:type="dxa"/>
            <w:vAlign w:val="bottom"/>
          </w:tcPr>
          <w:p>
            <w:pPr>
              <w:jc w:val="center"/>
              <w:ind w:right="170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840" w:type="dxa"/>
            <w:vAlign w:val="bottom"/>
          </w:tcPr>
          <w:p>
            <w:pPr>
              <w:jc w:val="center"/>
              <w:ind w:left="1702"/>
              <w:spacing w:after="0"/>
              <w:rPr>
                <w:sz w:val="20"/>
                <w:szCs w:val="20"/>
                <w:color w:val="auto"/>
              </w:rPr>
            </w:pPr>
            <w:r>
              <w:rPr>
                <w:rFonts w:ascii="Arial" w:cs="Arial" w:eastAsia="Arial" w:hAnsi="Arial"/>
                <w:sz w:val="14"/>
                <w:szCs w:val="14"/>
                <w:b w:val="1"/>
                <w:bCs w:val="1"/>
                <w:color w:val="auto"/>
                <w:w w:val="89"/>
              </w:rPr>
              <w:t>(Zip Code)</w:t>
            </w:r>
          </w:p>
        </w:tc>
      </w:tr>
    </w:tbl>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175895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 Other Events and Regulation FD Disclosure</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World Fuel Services Corporation (NYSE:INT), a global leader in the marketing and financing of aviation and marine fuel products and related services, today reported record net income for the second quarter ended June 30, 2003. Net income rose 23 percent to $5.4 million, or $0.49 per diluted share, as compared to $4.4 million, or $0.41 per diluted share, for the same quarter in the prior year. For the six months ended June 30, 2003, the Company reported record earnings of $10.7 million, or $0.97 per diluted share, as compared to $8.9 million, or $0.82 per diluted share, for the same period a year ago.</w:t>
      </w:r>
    </w:p>
    <w:p>
      <w:pPr>
        <w:spacing w:after="0" w:line="9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are very pleased with our strong results, which validates our business model and demonstrates the effectiveness of team initiatives. We continue to remain on track for a good year” said Paul Stebbins, Chairman and Chief Executive Officer.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exhibit 99.1 for the press release.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4"/>
        </w:trPr>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24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00" w:type="dxa"/>
            <w:vAlign w:val="bottom"/>
            <w:tcBorders>
              <w:bottom w:val="single" w:sz="8" w:color="auto"/>
            </w:tcBorders>
          </w:tcPr>
          <w:p>
            <w:pPr>
              <w:spacing w:after="0"/>
              <w:rPr>
                <w:sz w:val="8"/>
                <w:szCs w:val="8"/>
                <w:color w:val="auto"/>
              </w:rPr>
            </w:pPr>
          </w:p>
        </w:tc>
        <w:tc>
          <w:tcPr>
            <w:tcW w:w="52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r>
      <w:tr>
        <w:trPr>
          <w:trHeight w:val="383"/>
        </w:trPr>
        <w:tc>
          <w:tcPr>
            <w:tcW w:w="600" w:type="dxa"/>
            <w:vAlign w:val="bottom"/>
          </w:tcPr>
          <w:p>
            <w:pPr>
              <w:jc w:val="right"/>
              <w:spacing w:after="0"/>
              <w:rPr>
                <w:sz w:val="20"/>
                <w:szCs w:val="20"/>
                <w:color w:val="auto"/>
              </w:rPr>
            </w:pPr>
            <w:r>
              <w:rPr>
                <w:rFonts w:ascii="Arial" w:cs="Arial" w:eastAsia="Arial" w:hAnsi="Arial"/>
                <w:sz w:val="18"/>
                <w:szCs w:val="18"/>
                <w:color w:val="auto"/>
              </w:rPr>
              <w:t>99.1</w:t>
            </w:r>
          </w:p>
        </w:tc>
        <w:tc>
          <w:tcPr>
            <w:tcW w:w="6240" w:type="dxa"/>
            <w:vAlign w:val="bottom"/>
            <w:gridSpan w:val="2"/>
          </w:tcPr>
          <w:p>
            <w:pPr>
              <w:ind w:left="660"/>
              <w:spacing w:after="0"/>
              <w:rPr>
                <w:sz w:val="20"/>
                <w:szCs w:val="20"/>
                <w:color w:val="auto"/>
              </w:rPr>
            </w:pPr>
            <w:r>
              <w:rPr>
                <w:rFonts w:ascii="Arial" w:cs="Arial" w:eastAsia="Arial" w:hAnsi="Arial"/>
                <w:sz w:val="18"/>
                <w:szCs w:val="18"/>
                <w:color w:val="auto"/>
              </w:rPr>
              <w:t>Press Release dated July 30, 2003.</w:t>
            </w:r>
          </w:p>
        </w:tc>
      </w:tr>
    </w:tbl>
    <w:p>
      <w:pPr>
        <w:sectPr>
          <w:pgSz w:w="11900" w:h="16838" w:orient="portrait"/>
          <w:cols w:equalWidth="0" w:num="1">
            <w:col w:w="11360"/>
          </w:cols>
          <w:pgMar w:left="240" w:top="274" w:right="29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1"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1, 2003</w:t>
      </w:r>
      <w:r>
        <w:rPr>
          <w:sz w:val="20"/>
          <w:szCs w:val="20"/>
          <w:color w:val="auto"/>
        </w:rPr>
        <w:tab/>
      </w:r>
      <w:r>
        <w:rPr>
          <w:rFonts w:ascii="Arial" w:cs="Arial" w:eastAsia="Arial" w:hAnsi="Arial"/>
          <w:sz w:val="16"/>
          <w:szCs w:val="16"/>
          <w:b w:val="1"/>
          <w:bCs w:val="1"/>
          <w:color w:val="auto"/>
        </w:rPr>
        <w:t>World Fuel Services Corporation</w:t>
      </w:r>
    </w:p>
    <w:p>
      <w:pPr>
        <w:spacing w:after="0" w:line="23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97155</wp:posOffset>
            </wp:positionV>
            <wp:extent cx="34645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4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J. Kasbar</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Operating Officer</w:t>
      </w:r>
    </w:p>
    <w:p>
      <w:pPr>
        <w:spacing w:after="0" w:line="36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Francis X.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97155</wp:posOffset>
            </wp:positionV>
            <wp:extent cx="34645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4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Francis X. Shea</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980"/>
          </w:cols>
          <w:pgMar w:left="240" w:top="274"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gridSpan w:val="3"/>
          </w:tcPr>
          <w:p>
            <w:pPr>
              <w:spacing w:after="0"/>
              <w:rPr>
                <w:sz w:val="20"/>
                <w:szCs w:val="20"/>
                <w:color w:val="auto"/>
              </w:rPr>
            </w:pPr>
            <w:r>
              <w:rPr>
                <w:rFonts w:ascii="Arial" w:cs="Arial" w:eastAsia="Arial" w:hAnsi="Arial"/>
                <w:sz w:val="18"/>
                <w:szCs w:val="18"/>
                <w:color w:val="auto"/>
              </w:rPr>
              <w:t>NEWS RELEASE for July 30, 2003 at 8:00 AM EDT</w:t>
            </w:r>
          </w:p>
        </w:tc>
        <w:tc>
          <w:tcPr>
            <w:tcW w:w="3180" w:type="dxa"/>
            <w:vAlign w:val="bottom"/>
          </w:tcPr>
          <w:p>
            <w:pPr>
              <w:spacing w:after="0"/>
              <w:rPr>
                <w:sz w:val="17"/>
                <w:szCs w:val="17"/>
                <w:color w:val="auto"/>
              </w:rPr>
            </w:pPr>
          </w:p>
        </w:tc>
      </w:tr>
      <w:tr>
        <w:trPr>
          <w:trHeight w:val="228"/>
        </w:trPr>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Contact:</w:t>
            </w:r>
          </w:p>
        </w:tc>
        <w:tc>
          <w:tcPr>
            <w:tcW w:w="232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Allen &amp; Caron Inc</w:t>
            </w:r>
          </w:p>
        </w:tc>
        <w:tc>
          <w:tcPr>
            <w:tcW w:w="1000" w:type="dxa"/>
            <w:vAlign w:val="bottom"/>
          </w:tcPr>
          <w:p>
            <w:pPr>
              <w:spacing w:after="0"/>
              <w:rPr>
                <w:sz w:val="19"/>
                <w:szCs w:val="19"/>
                <w:color w:val="auto"/>
              </w:rPr>
            </w:pPr>
          </w:p>
        </w:tc>
        <w:tc>
          <w:tcPr>
            <w:tcW w:w="3180" w:type="dxa"/>
            <w:vAlign w:val="bottom"/>
          </w:tcPr>
          <w:p>
            <w:pPr>
              <w:ind w:left="860"/>
              <w:spacing w:after="0"/>
              <w:rPr>
                <w:sz w:val="20"/>
                <w:szCs w:val="20"/>
                <w:color w:val="auto"/>
              </w:rPr>
            </w:pPr>
            <w:r>
              <w:rPr>
                <w:rFonts w:ascii="Arial" w:cs="Arial" w:eastAsia="Arial" w:hAnsi="Arial"/>
                <w:sz w:val="18"/>
                <w:szCs w:val="18"/>
                <w:color w:val="auto"/>
                <w:w w:val="88"/>
              </w:rPr>
              <w:t>World Fuel Services Corporation</w:t>
            </w:r>
          </w:p>
        </w:tc>
      </w:tr>
      <w:tr>
        <w:trPr>
          <w:trHeight w:val="216"/>
        </w:trPr>
        <w:tc>
          <w:tcPr>
            <w:tcW w:w="1480" w:type="dxa"/>
            <w:vAlign w:val="bottom"/>
          </w:tcPr>
          <w:p>
            <w:pPr>
              <w:spacing w:after="0"/>
              <w:rPr>
                <w:sz w:val="18"/>
                <w:szCs w:val="18"/>
                <w:color w:val="auto"/>
              </w:rPr>
            </w:pPr>
          </w:p>
        </w:tc>
        <w:tc>
          <w:tcPr>
            <w:tcW w:w="3320" w:type="dxa"/>
            <w:vAlign w:val="bottom"/>
            <w:gridSpan w:val="2"/>
          </w:tcPr>
          <w:p>
            <w:pPr>
              <w:ind w:left="860"/>
              <w:spacing w:after="0"/>
              <w:rPr>
                <w:sz w:val="20"/>
                <w:szCs w:val="20"/>
                <w:color w:val="auto"/>
              </w:rPr>
            </w:pPr>
            <w:r>
              <w:rPr>
                <w:rFonts w:ascii="Arial" w:cs="Arial" w:eastAsia="Arial" w:hAnsi="Arial"/>
                <w:sz w:val="18"/>
                <w:szCs w:val="18"/>
                <w:color w:val="auto"/>
              </w:rPr>
              <w:t>Jesse Deal (Investors)</w:t>
            </w:r>
          </w:p>
        </w:tc>
        <w:tc>
          <w:tcPr>
            <w:tcW w:w="3180" w:type="dxa"/>
            <w:vAlign w:val="bottom"/>
          </w:tcPr>
          <w:p>
            <w:pPr>
              <w:ind w:left="860"/>
              <w:spacing w:after="0"/>
              <w:rPr>
                <w:sz w:val="20"/>
                <w:szCs w:val="20"/>
                <w:color w:val="auto"/>
              </w:rPr>
            </w:pPr>
            <w:r>
              <w:rPr>
                <w:rFonts w:ascii="Arial" w:cs="Arial" w:eastAsia="Arial" w:hAnsi="Arial"/>
                <w:sz w:val="18"/>
                <w:szCs w:val="18"/>
                <w:color w:val="auto"/>
              </w:rPr>
              <w:t>Francis X Shea, CFO &amp; EVP</w:t>
            </w:r>
          </w:p>
        </w:tc>
      </w:tr>
      <w:tr>
        <w:trPr>
          <w:trHeight w:val="216"/>
        </w:trPr>
        <w:tc>
          <w:tcPr>
            <w:tcW w:w="1480" w:type="dxa"/>
            <w:vAlign w:val="bottom"/>
          </w:tcPr>
          <w:p>
            <w:pPr>
              <w:spacing w:after="0"/>
              <w:rPr>
                <w:sz w:val="18"/>
                <w:szCs w:val="18"/>
                <w:color w:val="auto"/>
              </w:rPr>
            </w:pPr>
          </w:p>
        </w:tc>
        <w:tc>
          <w:tcPr>
            <w:tcW w:w="3320" w:type="dxa"/>
            <w:vAlign w:val="bottom"/>
            <w:gridSpan w:val="2"/>
          </w:tcPr>
          <w:p>
            <w:pPr>
              <w:ind w:left="860"/>
              <w:spacing w:after="0"/>
              <w:rPr>
                <w:sz w:val="20"/>
                <w:szCs w:val="20"/>
                <w:color w:val="auto"/>
              </w:rPr>
            </w:pPr>
            <w:r>
              <w:rPr>
                <w:rFonts w:ascii="Arial" w:cs="Arial" w:eastAsia="Arial" w:hAnsi="Arial"/>
                <w:sz w:val="18"/>
                <w:szCs w:val="18"/>
                <w:color w:val="auto"/>
              </w:rPr>
              <w:t>jesse@allencaron.com</w:t>
            </w:r>
          </w:p>
        </w:tc>
        <w:tc>
          <w:tcPr>
            <w:tcW w:w="3180" w:type="dxa"/>
            <w:vAlign w:val="bottom"/>
          </w:tcPr>
          <w:p>
            <w:pPr>
              <w:ind w:left="860"/>
              <w:spacing w:after="0"/>
              <w:rPr>
                <w:sz w:val="20"/>
                <w:szCs w:val="20"/>
                <w:color w:val="auto"/>
              </w:rPr>
            </w:pPr>
            <w:r>
              <w:rPr>
                <w:rFonts w:ascii="Arial" w:cs="Arial" w:eastAsia="Arial" w:hAnsi="Arial"/>
                <w:sz w:val="18"/>
                <w:szCs w:val="18"/>
                <w:color w:val="auto"/>
              </w:rPr>
              <w:t>fshea@wfscorp.com</w:t>
            </w:r>
          </w:p>
        </w:tc>
      </w:tr>
      <w:tr>
        <w:trPr>
          <w:trHeight w:val="216"/>
        </w:trPr>
        <w:tc>
          <w:tcPr>
            <w:tcW w:w="1480" w:type="dxa"/>
            <w:vAlign w:val="bottom"/>
          </w:tcPr>
          <w:p>
            <w:pPr>
              <w:spacing w:after="0"/>
              <w:rPr>
                <w:sz w:val="18"/>
                <w:szCs w:val="18"/>
                <w:color w:val="auto"/>
              </w:rPr>
            </w:pPr>
          </w:p>
        </w:tc>
        <w:tc>
          <w:tcPr>
            <w:tcW w:w="2320" w:type="dxa"/>
            <w:vAlign w:val="bottom"/>
          </w:tcPr>
          <w:p>
            <w:pPr>
              <w:ind w:left="860"/>
              <w:spacing w:after="0"/>
              <w:rPr>
                <w:sz w:val="20"/>
                <w:szCs w:val="20"/>
                <w:color w:val="auto"/>
              </w:rPr>
            </w:pPr>
            <w:r>
              <w:rPr>
                <w:rFonts w:ascii="Arial" w:cs="Arial" w:eastAsia="Arial" w:hAnsi="Arial"/>
                <w:sz w:val="18"/>
                <w:szCs w:val="18"/>
                <w:color w:val="auto"/>
              </w:rPr>
              <w:t>(212) 691-8087</w:t>
            </w:r>
          </w:p>
        </w:tc>
        <w:tc>
          <w:tcPr>
            <w:tcW w:w="1000" w:type="dxa"/>
            <w:vAlign w:val="bottom"/>
          </w:tcPr>
          <w:p>
            <w:pPr>
              <w:spacing w:after="0"/>
              <w:rPr>
                <w:sz w:val="18"/>
                <w:szCs w:val="18"/>
                <w:color w:val="auto"/>
              </w:rPr>
            </w:pPr>
          </w:p>
        </w:tc>
        <w:tc>
          <w:tcPr>
            <w:tcW w:w="3180" w:type="dxa"/>
            <w:vAlign w:val="bottom"/>
          </w:tcPr>
          <w:p>
            <w:pPr>
              <w:ind w:left="860"/>
              <w:spacing w:after="0"/>
              <w:rPr>
                <w:sz w:val="20"/>
                <w:szCs w:val="20"/>
                <w:color w:val="auto"/>
              </w:rPr>
            </w:pPr>
            <w:r>
              <w:rPr>
                <w:rFonts w:ascii="Arial" w:cs="Arial" w:eastAsia="Arial" w:hAnsi="Arial"/>
                <w:sz w:val="18"/>
                <w:szCs w:val="18"/>
                <w:color w:val="auto"/>
              </w:rPr>
              <w:t>(305) 428-8000</w:t>
            </w:r>
          </w:p>
        </w:tc>
      </w:tr>
      <w:tr>
        <w:trPr>
          <w:trHeight w:val="216"/>
        </w:trPr>
        <w:tc>
          <w:tcPr>
            <w:tcW w:w="1480" w:type="dxa"/>
            <w:vAlign w:val="bottom"/>
          </w:tcPr>
          <w:p>
            <w:pPr>
              <w:spacing w:after="0"/>
              <w:rPr>
                <w:sz w:val="18"/>
                <w:szCs w:val="18"/>
                <w:color w:val="auto"/>
              </w:rPr>
            </w:pPr>
          </w:p>
        </w:tc>
        <w:tc>
          <w:tcPr>
            <w:tcW w:w="3320" w:type="dxa"/>
            <w:vAlign w:val="bottom"/>
            <w:gridSpan w:val="2"/>
          </w:tcPr>
          <w:p>
            <w:pPr>
              <w:ind w:left="860"/>
              <w:spacing w:after="0"/>
              <w:rPr>
                <w:sz w:val="20"/>
                <w:szCs w:val="20"/>
                <w:color w:val="auto"/>
              </w:rPr>
            </w:pPr>
            <w:r>
              <w:rPr>
                <w:rFonts w:ascii="Arial" w:cs="Arial" w:eastAsia="Arial" w:hAnsi="Arial"/>
                <w:sz w:val="18"/>
                <w:szCs w:val="18"/>
                <w:color w:val="auto"/>
              </w:rPr>
              <w:t>or</w:t>
            </w:r>
          </w:p>
        </w:tc>
        <w:tc>
          <w:tcPr>
            <w:tcW w:w="318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320" w:type="dxa"/>
            <w:vAlign w:val="bottom"/>
            <w:gridSpan w:val="2"/>
          </w:tcPr>
          <w:p>
            <w:pPr>
              <w:ind w:left="860"/>
              <w:spacing w:after="0"/>
              <w:rPr>
                <w:sz w:val="20"/>
                <w:szCs w:val="20"/>
                <w:color w:val="auto"/>
              </w:rPr>
            </w:pPr>
            <w:r>
              <w:rPr>
                <w:rFonts w:ascii="Arial" w:cs="Arial" w:eastAsia="Arial" w:hAnsi="Arial"/>
                <w:sz w:val="18"/>
                <w:szCs w:val="18"/>
                <w:color w:val="auto"/>
              </w:rPr>
              <w:t>Len Hall (Media)</w:t>
            </w:r>
          </w:p>
        </w:tc>
        <w:tc>
          <w:tcPr>
            <w:tcW w:w="318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320" w:type="dxa"/>
            <w:vAlign w:val="bottom"/>
            <w:gridSpan w:val="2"/>
          </w:tcPr>
          <w:p>
            <w:pPr>
              <w:ind w:left="860"/>
              <w:spacing w:after="0"/>
              <w:rPr>
                <w:sz w:val="20"/>
                <w:szCs w:val="20"/>
                <w:color w:val="auto"/>
              </w:rPr>
            </w:pPr>
            <w:r>
              <w:rPr>
                <w:rFonts w:ascii="Arial" w:cs="Arial" w:eastAsia="Arial" w:hAnsi="Arial"/>
                <w:sz w:val="18"/>
                <w:szCs w:val="18"/>
                <w:color w:val="auto"/>
              </w:rPr>
              <w:t>len@allencaron.com</w:t>
            </w:r>
          </w:p>
        </w:tc>
        <w:tc>
          <w:tcPr>
            <w:tcW w:w="3180" w:type="dxa"/>
            <w:vAlign w:val="bottom"/>
          </w:tcPr>
          <w:p>
            <w:pPr>
              <w:spacing w:after="0"/>
              <w:rPr>
                <w:sz w:val="18"/>
                <w:szCs w:val="18"/>
                <w:color w:val="auto"/>
              </w:rPr>
            </w:pPr>
          </w:p>
        </w:tc>
      </w:tr>
      <w:tr>
        <w:trPr>
          <w:trHeight w:val="222"/>
        </w:trPr>
        <w:tc>
          <w:tcPr>
            <w:tcW w:w="1480" w:type="dxa"/>
            <w:vAlign w:val="bottom"/>
          </w:tcPr>
          <w:p>
            <w:pPr>
              <w:spacing w:after="0"/>
              <w:rPr>
                <w:sz w:val="19"/>
                <w:szCs w:val="19"/>
                <w:color w:val="auto"/>
              </w:rPr>
            </w:pPr>
          </w:p>
        </w:tc>
        <w:tc>
          <w:tcPr>
            <w:tcW w:w="2320" w:type="dxa"/>
            <w:vAlign w:val="bottom"/>
          </w:tcPr>
          <w:p>
            <w:pPr>
              <w:ind w:left="860"/>
              <w:spacing w:after="0"/>
              <w:rPr>
                <w:sz w:val="20"/>
                <w:szCs w:val="20"/>
                <w:color w:val="auto"/>
              </w:rPr>
            </w:pPr>
            <w:r>
              <w:rPr>
                <w:rFonts w:ascii="Arial" w:cs="Arial" w:eastAsia="Arial" w:hAnsi="Arial"/>
                <w:sz w:val="18"/>
                <w:szCs w:val="18"/>
                <w:color w:val="auto"/>
              </w:rPr>
              <w:t>(949) 474-4300</w:t>
            </w:r>
          </w:p>
        </w:tc>
        <w:tc>
          <w:tcPr>
            <w:tcW w:w="1000" w:type="dxa"/>
            <w:vAlign w:val="bottom"/>
          </w:tcPr>
          <w:p>
            <w:pPr>
              <w:spacing w:after="0"/>
              <w:rPr>
                <w:sz w:val="19"/>
                <w:szCs w:val="19"/>
                <w:color w:val="auto"/>
              </w:rPr>
            </w:pPr>
          </w:p>
        </w:tc>
        <w:tc>
          <w:tcPr>
            <w:tcW w:w="3180" w:type="dxa"/>
            <w:vAlign w:val="bottom"/>
          </w:tcPr>
          <w:p>
            <w:pPr>
              <w:spacing w:after="0"/>
              <w:rPr>
                <w:sz w:val="19"/>
                <w:szCs w:val="19"/>
                <w:color w:val="auto"/>
              </w:rPr>
            </w:pP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REPORTS RECORD RESULTS</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MIAMI, FL (July 30, 2003) . . . World Fuel Services Corporation (NYSE:INT), a global leader in the marketing and financing of aviation and marine fuel products and related services, today reported record net income for the second quarter ended June 30, 2003. Net income rose 23 percent to $5.4 million, or $0.49 per diluted share, as compared to $4.4 million, or $0.41 per diluted share, for the same quarter in the prior year. For the six months ended June 30, 2003, the Company reported record earnings of $10.7 million, or $0.97 per diluted share, as compared to $8.9 million, or $0.82 per diluted share, for the same period a year ago.</w:t>
      </w:r>
    </w:p>
    <w:p>
      <w:pPr>
        <w:spacing w:after="0" w:line="12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are very pleased with our strong results, which validates our business model and demonstrates the effectiveness of team initiatives. We continue to remain on track for a good year” said Paul Stebbins, Chairman and Chief Executive Officer.</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SECOND QUARTER AND SIX MONTHS FINANCIAL HIGHLIGHTS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4"/>
          </w:tcPr>
          <w:p>
            <w:pPr>
              <w:jc w:val="right"/>
              <w:ind w:right="337"/>
              <w:spacing w:after="0"/>
              <w:rPr>
                <w:sz w:val="20"/>
                <w:szCs w:val="20"/>
                <w:color w:val="auto"/>
              </w:rPr>
            </w:pPr>
            <w:r>
              <w:rPr>
                <w:rFonts w:ascii="Arial" w:cs="Arial" w:eastAsia="Arial" w:hAnsi="Arial"/>
                <w:sz w:val="14"/>
                <w:szCs w:val="14"/>
                <w:b w:val="1"/>
                <w:bCs w:val="1"/>
                <w:color w:val="auto"/>
              </w:rPr>
              <w:t>Quarter Ended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520" w:type="dxa"/>
            <w:vAlign w:val="bottom"/>
            <w:gridSpan w:val="7"/>
          </w:tcPr>
          <w:p>
            <w:pPr>
              <w:ind w:left="140"/>
              <w:spacing w:after="0"/>
              <w:rPr>
                <w:sz w:val="20"/>
                <w:szCs w:val="20"/>
                <w:color w:val="auto"/>
              </w:rPr>
            </w:pPr>
            <w:r>
              <w:rPr>
                <w:rFonts w:ascii="Arial" w:cs="Arial" w:eastAsia="Arial" w:hAnsi="Arial"/>
                <w:sz w:val="14"/>
                <w:szCs w:val="14"/>
                <w:b w:val="1"/>
                <w:bCs w:val="1"/>
                <w:color w:val="auto"/>
                <w:w w:val="90"/>
              </w:rPr>
              <w:t>($ in thousands, except per share data)</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59"/>
              <w:spacing w:after="0"/>
              <w:rPr>
                <w:sz w:val="20"/>
                <w:szCs w:val="20"/>
                <w:color w:val="auto"/>
              </w:rPr>
            </w:pPr>
            <w:r>
              <w:rPr>
                <w:rFonts w:ascii="Arial" w:cs="Arial" w:eastAsia="Arial" w:hAnsi="Arial"/>
                <w:sz w:val="14"/>
                <w:szCs w:val="14"/>
                <w:b w:val="1"/>
                <w:bCs w:val="1"/>
                <w:color w:val="auto"/>
                <w:w w:val="89"/>
              </w:rPr>
              <w:t>6/30/03</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w w:val="89"/>
              </w:rPr>
              <w:t>6/30/02</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19"/>
              <w:spacing w:after="0"/>
              <w:rPr>
                <w:sz w:val="20"/>
                <w:szCs w:val="20"/>
                <w:color w:val="auto"/>
              </w:rPr>
            </w:pPr>
            <w:r>
              <w:rPr>
                <w:rFonts w:ascii="Arial" w:cs="Arial" w:eastAsia="Arial" w:hAnsi="Arial"/>
                <w:sz w:val="14"/>
                <w:szCs w:val="14"/>
                <w:b w:val="1"/>
                <w:bCs w:val="1"/>
                <w:color w:val="auto"/>
              </w:rPr>
              <w:t>6/30/03</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56"/>
              <w:spacing w:after="0"/>
              <w:rPr>
                <w:sz w:val="20"/>
                <w:szCs w:val="20"/>
                <w:color w:val="auto"/>
              </w:rPr>
            </w:pPr>
            <w:r>
              <w:rPr>
                <w:rFonts w:ascii="Arial" w:cs="Arial" w:eastAsia="Arial" w:hAnsi="Arial"/>
                <w:sz w:val="14"/>
                <w:szCs w:val="14"/>
                <w:b w:val="1"/>
                <w:bCs w:val="1"/>
                <w:color w:val="auto"/>
                <w:w w:val="89"/>
              </w:rPr>
              <w:t>6/30/02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645,918</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$ 458,909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1,303,918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810,193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5,781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5,869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12,699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0.97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MORE-MORE-MORE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WORLD FUEL SERVICES REPORTS RECORD RESULTS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2-2-2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World Fuel Services Corporation</w:t>
      </w:r>
    </w:p>
    <w:p>
      <w:pPr>
        <w:spacing w:after="0" w:line="15"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color w:val="auto"/>
        </w:rPr>
        <w:t>Headquartered in Miami, FL, World Fuel Services Corporation is a global leader in the downstream marketing and financing of aviation and marine fuel products and related services. As the marketer of choice in the aviation and shipping industries, World Fuel Services provides fuel and services at more than 1,100 airports and seaports worldwide. With 30 offices strategically located throughout the world, World Fuel Services offers its customers a value-added outsource service for the supply, quality control, logistical support and price risk management of marine and aviation fuel.</w:t>
      </w:r>
    </w:p>
    <w:p>
      <w:pPr>
        <w:spacing w:after="0" w:line="102"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 xml:space="preserve">The company’s global team of market makers provides deep domain expertise in all aspects of marine and aviation fuel management. World Fuel Services’ aviation customers include commercial, passenger and cargo operators as well as corporate clientele. The company’s marine customers include premier blue-chip companies from all segments of the market. For more information, call (305) 428-8000 or visit </w:t>
      </w:r>
      <w:r>
        <w:rPr>
          <w:rFonts w:ascii="Arial" w:cs="Arial" w:eastAsia="Arial" w:hAnsi="Arial"/>
          <w:sz w:val="16"/>
          <w:szCs w:val="16"/>
          <w:u w:val="single" w:color="auto"/>
          <w:color w:val="auto"/>
        </w:rPr>
        <w:t>www.worldfuel.com</w:t>
      </w:r>
      <w:r>
        <w:rPr>
          <w:rFonts w:ascii="Arial" w:cs="Arial" w:eastAsia="Arial" w:hAnsi="Arial"/>
          <w:sz w:val="16"/>
          <w:szCs w:val="16"/>
          <w:color w:val="auto"/>
        </w:rPr>
        <w:t>.</w:t>
      </w:r>
    </w:p>
    <w:p>
      <w:pPr>
        <w:spacing w:after="0" w:line="9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With the exception of historical information in this news release, this document includes forward-looking statements that involve risks and uncertainties, including, but not limited to, quarterly fluctuations in results, the management of growth, fluctuations in world oil prices or foreign currency, major changes in political, economic, regulatory, or environmental conditions, the loss of key customers, suppliers or key members of senior management, uninsured losses, competition, credit risk associated with accounts and notes receivable, and other risks detailed from time to time in the Company’s Securities and Exchange Commission filings. Actual results may differ materially from any forward-looking statements set forth herein.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TABLES FOLLOW</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WORLD FUEL SERVICES REPORTS RECORD RESULTS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3-3-3</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CURRENT ASSETS:</w:t>
            </w: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300" w:type="dxa"/>
            <w:vAlign w:val="bottom"/>
            <w:gridSpan w:val="2"/>
            <w:shd w:val="clear" w:color="auto" w:fill="CCEEFF"/>
          </w:tcPr>
          <w:p>
            <w:pPr>
              <w:ind w:left="52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67,576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Accounts and notes receivable, net</w:t>
            </w: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145,901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177,360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21,233</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247,974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262,580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7,460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80" w:type="dxa"/>
            <w:vAlign w:val="bottom"/>
            <w:shd w:val="clear" w:color="auto" w:fill="CCEEFF"/>
          </w:tcPr>
          <w:p>
            <w:pPr>
              <w:spacing w:after="0"/>
              <w:rPr>
                <w:sz w:val="12"/>
                <w:szCs w:val="12"/>
                <w:color w:val="auto"/>
              </w:rPr>
            </w:pPr>
          </w:p>
        </w:tc>
        <w:tc>
          <w:tcPr>
            <w:tcW w:w="5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 ASSETS:</w:t>
            </w: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net</w:t>
            </w: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Intangible assets, net</w:t>
            </w: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ind w:left="52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300,637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312,287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CURRENT LIABILITIES:</w:t>
            </w: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debt</w:t>
            </w:r>
          </w:p>
        </w:tc>
        <w:tc>
          <w:tcPr>
            <w:tcW w:w="5300" w:type="dxa"/>
            <w:vAlign w:val="bottom"/>
            <w:gridSpan w:val="2"/>
            <w:shd w:val="clear" w:color="auto" w:fill="CCEEFF"/>
          </w:tcPr>
          <w:p>
            <w:pPr>
              <w:ind w:left="52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80,991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19,975</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153,961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180,359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8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8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8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137,815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127,730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ind w:left="52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300,637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312,287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300" w:type="dxa"/>
            <w:vAlign w:val="bottom"/>
            <w:gridSpan w:val="2"/>
          </w:tcPr>
          <w:p>
            <w:pPr>
              <w:ind w:left="480"/>
              <w:spacing w:after="0"/>
              <w:rPr>
                <w:sz w:val="20"/>
                <w:szCs w:val="20"/>
                <w:color w:val="auto"/>
              </w:rPr>
            </w:pPr>
            <w:r>
              <w:rPr>
                <w:rFonts w:ascii="Arial" w:cs="Arial" w:eastAsia="Arial" w:hAnsi="Arial"/>
                <w:sz w:val="18"/>
                <w:szCs w:val="18"/>
                <w:color w:val="auto"/>
              </w:rPr>
              <w:t>MORE – MORE – MORE</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-2573020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-2573020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-2573020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-2573020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-2573020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-2573020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-325755</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WORLD FUEL SERVICES REPORTS RECORD RESULTS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4-4-4</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(UNAUDITED—IN THOUSANDS,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7"/>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4"/>
                <w:szCs w:val="14"/>
                <w:color w:val="auto"/>
              </w:rPr>
            </w:pPr>
          </w:p>
        </w:tc>
        <w:tc>
          <w:tcPr>
            <w:tcW w:w="20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6"/>
              </w:rPr>
              <w:t>For the 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155"/>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21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645,918</w:t>
            </w:r>
          </w:p>
        </w:tc>
        <w:tc>
          <w:tcPr>
            <w:tcW w:w="4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458,909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1,303,918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810,193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(620,436)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(438,803)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w w:val="86"/>
              </w:rPr>
              <w:t>(1,251,125)</w:t>
            </w: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(768,941)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Salaries and wages</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(10,647)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(7,644)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(20,745)</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bad debts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(3,938)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(7,817)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(5,952)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(15,411)</w:t>
            </w: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(11,961)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(19,701)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(40,094)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482</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4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4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shares—basic</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shares—diluted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-1229995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-1229995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-1229995</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-1229995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-1229995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-1229995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-1229995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-1229995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-1229995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-1229995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-1229995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-1229995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-929640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-929640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-929640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-929640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-929640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-929640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-929640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-929640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-929640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-929640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-929640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-929640</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-629285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-629285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-629285</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-629285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-629285</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-629285</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-629285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-629285</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-629285</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-629285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-629285</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-629285</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-329565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-329565</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-329565</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-329565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-329565</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-329565</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-329565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-329565</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-329565</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-329565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-329565</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-329565</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-29210</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2019-12-13T16:35:54Z</dcterms:created>
  <dcterms:modified xsi:type="dcterms:W3CDTF">2019-12-13T16:35:54Z</dcterms:modified>
</cp:coreProperties>
</file>