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1"/>
          <w:szCs w:val="31"/>
          <w:b w:val="1"/>
          <w:bCs w:val="1"/>
          <w:color w:val="auto"/>
        </w:rPr>
        <w:t>UNITED STATES</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spacing w:after="0" w:line="80" w:lineRule="exact"/>
        <w:rPr>
          <w:sz w:val="24"/>
          <w:szCs w:val="24"/>
          <w:color w:val="auto"/>
        </w:rPr>
      </w:pPr>
    </w:p>
    <w:p>
      <w:pPr>
        <w:jc w:val="center"/>
        <w:ind w:right="4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131445</wp:posOffset>
            </wp:positionH>
            <wp:positionV relativeFrom="paragraph">
              <wp:posOffset>162560</wp:posOffset>
            </wp:positionV>
            <wp:extent cx="68872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8721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684530</wp:posOffset>
            </wp:positionH>
            <wp:positionV relativeFrom="paragraph">
              <wp:posOffset>99060</wp:posOffset>
            </wp:positionV>
            <wp:extent cx="65163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1637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ind w:left="4700"/>
        <w:spacing w:after="0"/>
        <w:rPr>
          <w:sz w:val="20"/>
          <w:szCs w:val="20"/>
          <w:color w:val="auto"/>
        </w:rPr>
      </w:pPr>
      <w:r>
        <w:rPr>
          <w:rFonts w:ascii="Arial" w:cs="Arial" w:eastAsia="Arial" w:hAnsi="Arial"/>
          <w:sz w:val="20"/>
          <w:szCs w:val="20"/>
          <w:b w:val="1"/>
          <w:bCs w:val="1"/>
          <w:color w:val="auto"/>
        </w:rPr>
        <w:t>CURRENT REPORT</w:t>
      </w:r>
    </w:p>
    <w:p>
      <w:pPr>
        <w:spacing w:after="0" w:line="116" w:lineRule="exact"/>
        <w:rPr>
          <w:sz w:val="24"/>
          <w:szCs w:val="24"/>
          <w:color w:val="auto"/>
        </w:rPr>
      </w:pPr>
    </w:p>
    <w:p>
      <w:pPr>
        <w:ind w:left="3700"/>
        <w:spacing w:after="0"/>
        <w:rPr>
          <w:sz w:val="20"/>
          <w:szCs w:val="20"/>
          <w:color w:val="auto"/>
        </w:rPr>
      </w:pPr>
      <w:r>
        <w:rPr>
          <w:rFonts w:ascii="Arial" w:cs="Arial" w:eastAsia="Arial" w:hAnsi="Arial"/>
          <w:sz w:val="20"/>
          <w:szCs w:val="20"/>
          <w:b w:val="1"/>
          <w:bCs w:val="1"/>
          <w:color w:val="auto"/>
        </w:rPr>
        <w:t>PURSUANT TO SECTION 13 OR 15(d) OF</w:t>
      </w:r>
    </w:p>
    <w:p>
      <w:pPr>
        <w:spacing w:after="0" w:line="116" w:lineRule="exact"/>
        <w:rPr>
          <w:sz w:val="24"/>
          <w:szCs w:val="24"/>
          <w:color w:val="auto"/>
        </w:rPr>
      </w:pPr>
    </w:p>
    <w:p>
      <w:pPr>
        <w:ind w:left="3500"/>
        <w:spacing w:after="0"/>
        <w:rPr>
          <w:sz w:val="20"/>
          <w:szCs w:val="20"/>
          <w:color w:val="auto"/>
        </w:rPr>
      </w:pPr>
      <w:r>
        <w:rPr>
          <w:rFonts w:ascii="Arial" w:cs="Arial" w:eastAsia="Arial" w:hAnsi="Arial"/>
          <w:sz w:val="20"/>
          <w:szCs w:val="20"/>
          <w:b w:val="1"/>
          <w:bCs w:val="1"/>
          <w:color w:val="auto"/>
        </w:rPr>
        <w:t>THE SECURITIES EXCHANGE ACT OF 1934</w:t>
      </w:r>
    </w:p>
    <w:p>
      <w:pPr>
        <w:spacing w:after="0" w:line="120" w:lineRule="exact"/>
        <w:rPr>
          <w:sz w:val="24"/>
          <w:szCs w:val="24"/>
          <w:color w:val="auto"/>
        </w:rPr>
      </w:pPr>
    </w:p>
    <w:p>
      <w:pPr>
        <w:ind w:left="3580"/>
        <w:spacing w:after="0"/>
        <w:rPr>
          <w:sz w:val="20"/>
          <w:szCs w:val="20"/>
          <w:color w:val="auto"/>
        </w:rPr>
      </w:pPr>
      <w:r>
        <w:rPr>
          <w:rFonts w:ascii="Arial" w:cs="Arial" w:eastAsia="Arial" w:hAnsi="Arial"/>
          <w:sz w:val="17"/>
          <w:szCs w:val="17"/>
          <w:b w:val="1"/>
          <w:bCs w:val="1"/>
          <w:color w:val="auto"/>
        </w:rPr>
        <w:t>Date of Report (Date of earliest event reported): October 26,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684530</wp:posOffset>
            </wp:positionH>
            <wp:positionV relativeFrom="paragraph">
              <wp:posOffset>108585</wp:posOffset>
            </wp:positionV>
            <wp:extent cx="65163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16370" cy="8255"/>
                    </a:xfrm>
                    <a:prstGeom prst="rect">
                      <a:avLst/>
                    </a:prstGeom>
                    <a:noFill/>
                  </pic:spPr>
                </pic:pic>
              </a:graphicData>
            </a:graphic>
          </wp:anchor>
        </w:drawing>
      </w:r>
    </w:p>
    <w:p>
      <w:pPr>
        <w:spacing w:after="0" w:line="363" w:lineRule="exact"/>
        <w:rPr>
          <w:sz w:val="24"/>
          <w:szCs w:val="24"/>
          <w:color w:val="auto"/>
        </w:rPr>
      </w:pPr>
    </w:p>
    <w:p>
      <w:pPr>
        <w:jc w:val="center"/>
        <w:ind w:right="-19"/>
        <w:spacing w:after="0"/>
        <w:rPr>
          <w:sz w:val="20"/>
          <w:szCs w:val="20"/>
          <w:color w:val="auto"/>
        </w:rPr>
      </w:pPr>
      <w:r>
        <w:rPr>
          <w:rFonts w:ascii="Arial" w:cs="Arial" w:eastAsia="Arial" w:hAnsi="Arial"/>
          <w:sz w:val="38"/>
          <w:szCs w:val="38"/>
          <w:b w:val="1"/>
          <w:bCs w:val="1"/>
          <w:color w:val="auto"/>
        </w:rPr>
        <w:t>WORLD KINECT CORPORATION</w:t>
      </w:r>
    </w:p>
    <w:p>
      <w:pPr>
        <w:spacing w:after="0" w:line="12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131445</wp:posOffset>
            </wp:positionH>
            <wp:positionV relativeFrom="paragraph">
              <wp:posOffset>96520</wp:posOffset>
            </wp:positionV>
            <wp:extent cx="68872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87210" cy="825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p>
      <w:pPr>
        <w:spacing w:after="0" w:line="200" w:lineRule="exact"/>
        <w:rPr>
          <w:sz w:val="24"/>
          <w:szCs w:val="24"/>
          <w:color w:val="auto"/>
        </w:rPr>
      </w:pPr>
    </w:p>
    <w:p>
      <w:pPr>
        <w:spacing w:after="0" w:line="400" w:lineRule="exact"/>
        <w:rPr>
          <w:sz w:val="24"/>
          <w:szCs w:val="24"/>
          <w:color w:val="auto"/>
        </w:rPr>
      </w:pPr>
    </w:p>
    <w:p>
      <w:pPr>
        <w:ind w:left="1580"/>
        <w:spacing w:after="0"/>
        <w:rPr>
          <w:sz w:val="20"/>
          <w:szCs w:val="20"/>
          <w:color w:val="auto"/>
        </w:rPr>
      </w:pPr>
      <w:r>
        <w:rPr>
          <w:rFonts w:ascii="Arial" w:cs="Arial" w:eastAsia="Arial" w:hAnsi="Arial"/>
          <w:sz w:val="19"/>
          <w:szCs w:val="19"/>
          <w:b w:val="1"/>
          <w:bCs w:val="1"/>
          <w:color w:val="auto"/>
        </w:rPr>
        <w:t>Florida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0"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001-09533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59-2459427</w:t>
      </w:r>
    </w:p>
    <w:p>
      <w:pPr>
        <w:spacing w:after="0" w:line="57" w:lineRule="exact"/>
        <w:rPr>
          <w:sz w:val="24"/>
          <w:szCs w:val="24"/>
          <w:color w:val="auto"/>
        </w:rPr>
      </w:pPr>
    </w:p>
    <w:p>
      <w:pPr>
        <w:sectPr>
          <w:pgSz w:w="11900" w:h="16838" w:orient="portrait"/>
          <w:cols w:equalWidth="0" w:num="3">
            <w:col w:w="4460" w:space="720"/>
            <w:col w:w="2960" w:space="720"/>
            <w:col w:w="2380"/>
          </w:cols>
          <w:pgMar w:left="320" w:top="1151" w:right="339" w:bottom="1440" w:gutter="0" w:footer="0" w:header="0"/>
          <w:type w:val="continuous"/>
        </w:sectPr>
      </w:pPr>
    </w:p>
    <w:p>
      <w:pPr>
        <w:ind w:left="600"/>
        <w:spacing w:after="0"/>
        <w:rPr>
          <w:sz w:val="20"/>
          <w:szCs w:val="20"/>
          <w:color w:val="auto"/>
        </w:rPr>
      </w:pPr>
      <w:r>
        <w:rPr>
          <w:rFonts w:ascii="Arial" w:cs="Arial" w:eastAsia="Arial" w:hAnsi="Arial"/>
          <w:sz w:val="11"/>
          <w:szCs w:val="11"/>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(I.R.S. Employer Identification No.)</w:t>
      </w:r>
    </w:p>
    <w:p>
      <w:pPr>
        <w:spacing w:after="0" w:line="200" w:lineRule="exact"/>
        <w:rPr>
          <w:sz w:val="24"/>
          <w:szCs w:val="24"/>
          <w:color w:val="auto"/>
        </w:rPr>
      </w:pPr>
    </w:p>
    <w:p>
      <w:pPr>
        <w:sectPr>
          <w:pgSz w:w="11900" w:h="16838" w:orient="portrait"/>
          <w:cols w:equalWidth="0" w:num="3">
            <w:col w:w="4120" w:space="720"/>
            <w:col w:w="2760" w:space="720"/>
            <w:col w:w="2920"/>
          </w:cols>
          <w:pgMar w:left="320" w:top="1151" w:right="339" w:bottom="1440" w:gutter="0" w:footer="0" w:header="0"/>
          <w:type w:val="continuous"/>
        </w:sectPr>
      </w:pPr>
    </w:p>
    <w:p>
      <w:pPr>
        <w:spacing w:after="0" w:line="75" w:lineRule="exact"/>
        <w:rPr>
          <w:sz w:val="24"/>
          <w:szCs w:val="24"/>
          <w:color w:val="auto"/>
        </w:rPr>
      </w:pPr>
    </w:p>
    <w:p>
      <w:pPr>
        <w:ind w:left="3080"/>
        <w:spacing w:after="0"/>
        <w:rPr>
          <w:sz w:val="20"/>
          <w:szCs w:val="20"/>
          <w:color w:val="auto"/>
        </w:rPr>
      </w:pPr>
      <w:r>
        <w:rPr>
          <w:rFonts w:ascii="Arial" w:cs="Arial" w:eastAsia="Arial" w:hAnsi="Arial"/>
          <w:sz w:val="18"/>
          <w:szCs w:val="18"/>
          <w:b w:val="1"/>
          <w:bCs w:val="1"/>
          <w:color w:val="auto"/>
        </w:rPr>
        <w:t>9800 N.W. 41st Street,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Miami,</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Florida</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33178</w:t>
      </w:r>
    </w:p>
    <w:p>
      <w:pPr>
        <w:spacing w:after="0" w:line="113" w:lineRule="exact"/>
        <w:rPr>
          <w:sz w:val="24"/>
          <w:szCs w:val="24"/>
          <w:color w:val="auto"/>
        </w:rPr>
      </w:pPr>
    </w:p>
    <w:p>
      <w:pPr>
        <w:sectPr>
          <w:pgSz w:w="11900" w:h="16838" w:orient="portrait"/>
          <w:cols w:equalWidth="0" w:num="4">
            <w:col w:w="5000" w:space="500"/>
            <w:col w:w="620" w:space="320"/>
            <w:col w:w="660" w:space="620"/>
            <w:col w:w="3520"/>
          </w:cols>
          <w:pgMar w:left="320" w:top="1151" w:right="339" w:bottom="1440" w:gutter="0" w:footer="0" w:header="0"/>
          <w:type w:val="continuous"/>
        </w:sectPr>
      </w:pPr>
    </w:p>
    <w:p>
      <w:pPr>
        <w:spacing w:after="0" w:line="5" w:lineRule="exact"/>
        <w:rPr>
          <w:sz w:val="24"/>
          <w:szCs w:val="24"/>
          <w:color w:val="auto"/>
        </w:rPr>
      </w:pPr>
    </w:p>
    <w:p>
      <w:pPr>
        <w:ind w:left="388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200" w:lineRule="exact"/>
        <w:rPr>
          <w:sz w:val="24"/>
          <w:szCs w:val="24"/>
          <w:color w:val="auto"/>
        </w:rPr>
      </w:pPr>
    </w:p>
    <w:p>
      <w:pPr>
        <w:sectPr>
          <w:pgSz w:w="11900" w:h="16838" w:orient="portrait"/>
          <w:cols w:equalWidth="0" w:num="2">
            <w:col w:w="6900" w:space="720"/>
            <w:col w:w="3620"/>
          </w:cols>
          <w:pgMar w:left="320" w:top="1151" w:right="339" w:bottom="1440" w:gutter="0" w:footer="0" w:header="0"/>
          <w:type w:val="continuous"/>
        </w:sectPr>
      </w:pPr>
    </w:p>
    <w:p>
      <w:pPr>
        <w:spacing w:after="0" w:line="19" w:lineRule="exact"/>
        <w:rPr>
          <w:sz w:val="24"/>
          <w:szCs w:val="24"/>
          <w:color w:val="auto"/>
        </w:rPr>
      </w:pPr>
    </w:p>
    <w:p>
      <w:pPr>
        <w:ind w:left="3660"/>
        <w:spacing w:after="0"/>
        <w:rPr>
          <w:sz w:val="20"/>
          <w:szCs w:val="20"/>
          <w:color w:val="auto"/>
        </w:rPr>
      </w:pPr>
      <w:r>
        <w:rPr>
          <w:rFonts w:ascii="Arial" w:cs="Arial" w:eastAsia="Arial" w:hAnsi="Arial"/>
          <w:sz w:val="17"/>
          <w:szCs w:val="17"/>
          <w:b w:val="1"/>
          <w:bCs w:val="1"/>
          <w:color w:val="auto"/>
        </w:rPr>
        <w:t>Registrant’s telephone number, including area code: (305) 428-8000</w:t>
      </w:r>
    </w:p>
    <w:p>
      <w:pPr>
        <w:spacing w:after="0" w:line="116" w:lineRule="exact"/>
        <w:rPr>
          <w:sz w:val="24"/>
          <w:szCs w:val="24"/>
          <w:color w:val="auto"/>
        </w:rPr>
      </w:pPr>
    </w:p>
    <w:p>
      <w:pPr>
        <w:spacing w:after="0" w:line="258"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41" w:lineRule="exact"/>
        <w:rPr>
          <w:sz w:val="24"/>
          <w:szCs w:val="24"/>
          <w:color w:val="auto"/>
        </w:rPr>
      </w:pPr>
    </w:p>
    <w:p>
      <w:pPr>
        <w:ind w:left="200" w:hanging="198"/>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60" w:lineRule="exact"/>
        <w:rPr>
          <w:rFonts w:ascii="MS PGothic" w:cs="MS PGothic" w:eastAsia="MS PGothic" w:hAnsi="MS PGothic"/>
          <w:sz w:val="17"/>
          <w:szCs w:val="17"/>
          <w:color w:val="auto"/>
        </w:rPr>
      </w:pPr>
    </w:p>
    <w:p>
      <w:pPr>
        <w:ind w:left="200" w:hanging="198"/>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240.14-12)</w:t>
      </w:r>
    </w:p>
    <w:p>
      <w:pPr>
        <w:spacing w:after="0" w:line="60" w:lineRule="exact"/>
        <w:rPr>
          <w:rFonts w:ascii="MS PGothic" w:cs="MS PGothic" w:eastAsia="MS PGothic" w:hAnsi="MS PGothic"/>
          <w:sz w:val="17"/>
          <w:szCs w:val="17"/>
          <w:color w:val="auto"/>
        </w:rPr>
      </w:pPr>
    </w:p>
    <w:p>
      <w:pPr>
        <w:ind w:left="200" w:hanging="198"/>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60" w:lineRule="exact"/>
        <w:rPr>
          <w:rFonts w:ascii="MS PGothic" w:cs="MS PGothic" w:eastAsia="MS PGothic" w:hAnsi="MS PGothic"/>
          <w:sz w:val="17"/>
          <w:szCs w:val="17"/>
          <w:color w:val="auto"/>
        </w:rPr>
      </w:pPr>
    </w:p>
    <w:p>
      <w:pPr>
        <w:ind w:left="200" w:hanging="198"/>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0" w:lineRule="exact"/>
        <w:rPr>
          <w:sz w:val="24"/>
          <w:szCs w:val="24"/>
          <w:color w:val="auto"/>
        </w:rPr>
      </w:pPr>
    </w:p>
    <w:p>
      <w:pPr>
        <w:spacing w:after="0" w:line="34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940" w:type="dxa"/>
            <w:vAlign w:val="bottom"/>
            <w:gridSpan w:val="3"/>
          </w:tcPr>
          <w:p>
            <w:pPr>
              <w:spacing w:after="0"/>
              <w:rPr>
                <w:sz w:val="20"/>
                <w:szCs w:val="20"/>
                <w:color w:val="auto"/>
              </w:rPr>
            </w:pPr>
            <w:r>
              <w:rPr>
                <w:rFonts w:ascii="Arial" w:cs="Arial" w:eastAsia="Arial" w:hAnsi="Arial"/>
                <w:sz w:val="17"/>
                <w:szCs w:val="17"/>
                <w:color w:val="auto"/>
              </w:rPr>
              <w:t>Securities registered pursuant to Section 12(b) of the Act:</w:t>
            </w:r>
          </w:p>
        </w:tc>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411"/>
        </w:trPr>
        <w:tc>
          <w:tcPr>
            <w:tcW w:w="1620" w:type="dxa"/>
            <w:vAlign w:val="bottom"/>
          </w:tcPr>
          <w:p>
            <w:pPr>
              <w:spacing w:after="0"/>
              <w:rPr>
                <w:sz w:val="24"/>
                <w:szCs w:val="24"/>
                <w:color w:val="auto"/>
              </w:rPr>
            </w:pPr>
          </w:p>
        </w:tc>
        <w:tc>
          <w:tcPr>
            <w:tcW w:w="3320" w:type="dxa"/>
            <w:vAlign w:val="bottom"/>
            <w:gridSpan w:val="2"/>
          </w:tcPr>
          <w:p>
            <w:pPr>
              <w:jc w:val="center"/>
              <w:ind w:right="2040"/>
              <w:spacing w:after="0"/>
              <w:rPr>
                <w:sz w:val="20"/>
                <w:szCs w:val="20"/>
                <w:color w:val="auto"/>
              </w:rPr>
            </w:pPr>
            <w:r>
              <w:rPr>
                <w:rFonts w:ascii="Arial" w:cs="Arial" w:eastAsia="Arial" w:hAnsi="Arial"/>
                <w:sz w:val="17"/>
                <w:szCs w:val="17"/>
                <w:b w:val="1"/>
                <w:bCs w:val="1"/>
                <w:color w:val="auto"/>
                <w:w w:val="87"/>
              </w:rPr>
              <w:t>Title of each class</w:t>
            </w:r>
          </w:p>
        </w:tc>
        <w:tc>
          <w:tcPr>
            <w:tcW w:w="2440" w:type="dxa"/>
            <w:vAlign w:val="bottom"/>
            <w:gridSpan w:val="2"/>
          </w:tcPr>
          <w:p>
            <w:pPr>
              <w:jc w:val="center"/>
              <w:ind w:right="1080"/>
              <w:spacing w:after="0"/>
              <w:rPr>
                <w:sz w:val="20"/>
                <w:szCs w:val="20"/>
                <w:color w:val="auto"/>
              </w:rPr>
            </w:pPr>
            <w:r>
              <w:rPr>
                <w:rFonts w:ascii="Arial" w:cs="Arial" w:eastAsia="Arial" w:hAnsi="Arial"/>
                <w:sz w:val="17"/>
                <w:szCs w:val="17"/>
                <w:b w:val="1"/>
                <w:bCs w:val="1"/>
                <w:color w:val="auto"/>
                <w:w w:val="91"/>
              </w:rPr>
              <w:t>Trading Symbol(s)</w:t>
            </w:r>
          </w:p>
        </w:tc>
        <w:tc>
          <w:tcPr>
            <w:tcW w:w="3160" w:type="dxa"/>
            <w:vAlign w:val="bottom"/>
          </w:tcPr>
          <w:p>
            <w:pPr>
              <w:jc w:val="center"/>
              <w:spacing w:after="0"/>
              <w:rPr>
                <w:sz w:val="20"/>
                <w:szCs w:val="20"/>
                <w:color w:val="auto"/>
              </w:rPr>
            </w:pPr>
            <w:r>
              <w:rPr>
                <w:rFonts w:ascii="Arial" w:cs="Arial" w:eastAsia="Arial" w:hAnsi="Arial"/>
                <w:sz w:val="17"/>
                <w:szCs w:val="17"/>
                <w:b w:val="1"/>
                <w:bCs w:val="1"/>
                <w:color w:val="auto"/>
                <w:w w:val="88"/>
              </w:rPr>
              <w:t>Name of each exchange on which registered</w:t>
            </w:r>
          </w:p>
        </w:tc>
      </w:tr>
      <w:tr>
        <w:trPr>
          <w:trHeight w:val="20"/>
        </w:trPr>
        <w:tc>
          <w:tcPr>
            <w:tcW w:w="16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r>
      <w:tr>
        <w:trPr>
          <w:trHeight w:val="325"/>
        </w:trPr>
        <w:tc>
          <w:tcPr>
            <w:tcW w:w="4940" w:type="dxa"/>
            <w:vAlign w:val="bottom"/>
            <w:gridSpan w:val="3"/>
          </w:tcPr>
          <w:p>
            <w:pPr>
              <w:jc w:val="center"/>
              <w:ind w:right="420"/>
              <w:spacing w:after="0"/>
              <w:rPr>
                <w:sz w:val="20"/>
                <w:szCs w:val="20"/>
                <w:color w:val="auto"/>
              </w:rPr>
            </w:pPr>
            <w:r>
              <w:rPr>
                <w:rFonts w:ascii="Arial" w:cs="Arial" w:eastAsia="Arial" w:hAnsi="Arial"/>
                <w:sz w:val="17"/>
                <w:szCs w:val="17"/>
                <w:b w:val="1"/>
                <w:bCs w:val="1"/>
                <w:color w:val="auto"/>
                <w:w w:val="90"/>
              </w:rPr>
              <w:t>Common Stock, par value $0.01 per share</w:t>
            </w:r>
          </w:p>
        </w:tc>
        <w:tc>
          <w:tcPr>
            <w:tcW w:w="2440" w:type="dxa"/>
            <w:vAlign w:val="bottom"/>
            <w:gridSpan w:val="2"/>
          </w:tcPr>
          <w:p>
            <w:pPr>
              <w:jc w:val="center"/>
              <w:ind w:right="1100"/>
              <w:spacing w:after="0"/>
              <w:rPr>
                <w:sz w:val="20"/>
                <w:szCs w:val="20"/>
                <w:color w:val="auto"/>
              </w:rPr>
            </w:pPr>
            <w:r>
              <w:rPr>
                <w:rFonts w:ascii="Arial" w:cs="Arial" w:eastAsia="Arial" w:hAnsi="Arial"/>
                <w:sz w:val="17"/>
                <w:szCs w:val="17"/>
                <w:b w:val="1"/>
                <w:bCs w:val="1"/>
                <w:color w:val="auto"/>
              </w:rPr>
              <w:t>WKC</w:t>
            </w:r>
          </w:p>
        </w:tc>
        <w:tc>
          <w:tcPr>
            <w:tcW w:w="3160" w:type="dxa"/>
            <w:vAlign w:val="bottom"/>
          </w:tcPr>
          <w:p>
            <w:pPr>
              <w:jc w:val="center"/>
              <w:spacing w:after="0"/>
              <w:rPr>
                <w:sz w:val="20"/>
                <w:szCs w:val="20"/>
                <w:color w:val="auto"/>
              </w:rPr>
            </w:pPr>
            <w:r>
              <w:rPr>
                <w:rFonts w:ascii="Arial" w:cs="Arial" w:eastAsia="Arial" w:hAnsi="Arial"/>
                <w:sz w:val="17"/>
                <w:szCs w:val="17"/>
                <w:b w:val="1"/>
                <w:bCs w:val="1"/>
                <w:color w:val="auto"/>
                <w:w w:val="89"/>
              </w:rPr>
              <w:t>New York Stock Exchange</w:t>
            </w:r>
          </w:p>
        </w:tc>
      </w:tr>
    </w:tbl>
    <w:p>
      <w:pPr>
        <w:spacing w:after="0" w:line="168" w:lineRule="exact"/>
        <w:rPr>
          <w:sz w:val="24"/>
          <w:szCs w:val="24"/>
          <w:color w:val="auto"/>
        </w:rPr>
      </w:pPr>
    </w:p>
    <w:p>
      <w:pPr>
        <w:spacing w:after="0" w:line="276"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154" w:lineRule="exact"/>
        <w:rPr>
          <w:sz w:val="24"/>
          <w:szCs w:val="24"/>
          <w:color w:val="auto"/>
        </w:rPr>
      </w:pPr>
    </w:p>
    <w:p>
      <w:pPr>
        <w:spacing w:after="0" w:line="22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637540</wp:posOffset>
            </wp:positionV>
            <wp:extent cx="716470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7.01. Regulation FD Disclosure</w:t>
      </w:r>
    </w:p>
    <w:p>
      <w:pPr>
        <w:spacing w:after="0" w:line="21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following information is provided pursuant to Item 7.01 of Form 8-K, "Regulation FD Disclosure" and Item 2.02 of Form 8-K, "Results of Operations and Financial Condition."</w:t>
      </w:r>
    </w:p>
    <w:p>
      <w:pPr>
        <w:spacing w:after="0" w:line="63" w:lineRule="exact"/>
        <w:rPr>
          <w:sz w:val="20"/>
          <w:szCs w:val="20"/>
          <w:color w:val="auto"/>
        </w:rPr>
      </w:pPr>
    </w:p>
    <w:p>
      <w:pPr>
        <w:jc w:val="both"/>
        <w:ind w:firstLine="55"/>
        <w:spacing w:after="0" w:line="276" w:lineRule="auto"/>
        <w:rPr>
          <w:sz w:val="20"/>
          <w:szCs w:val="20"/>
          <w:color w:val="auto"/>
        </w:rPr>
      </w:pPr>
      <w:r>
        <w:rPr>
          <w:rFonts w:ascii="Arial" w:cs="Arial" w:eastAsia="Arial" w:hAnsi="Arial"/>
          <w:sz w:val="17"/>
          <w:szCs w:val="17"/>
          <w:color w:val="auto"/>
        </w:rPr>
        <w:t>On October 26, 2023, World Kinect Corporation issued a press release reporting its financial results for the third quarter of 2023. A copy of the press release is attached hereto as Exhibit 99.1.</w:t>
      </w:r>
    </w:p>
    <w:p>
      <w:pPr>
        <w:spacing w:after="0" w:line="63" w:lineRule="exact"/>
        <w:rPr>
          <w:sz w:val="20"/>
          <w:szCs w:val="20"/>
          <w:color w:val="auto"/>
        </w:rPr>
      </w:pPr>
    </w:p>
    <w:p>
      <w:pPr>
        <w:jc w:val="both"/>
        <w:ind w:firstLine="50"/>
        <w:spacing w:after="0" w:line="264" w:lineRule="auto"/>
        <w:rPr>
          <w:sz w:val="20"/>
          <w:szCs w:val="20"/>
          <w:color w:val="auto"/>
        </w:rPr>
      </w:pPr>
      <w:r>
        <w:rPr>
          <w:rFonts w:ascii="Arial" w:cs="Arial" w:eastAsia="Arial" w:hAnsi="Arial"/>
          <w:sz w:val="17"/>
          <w:szCs w:val="17"/>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60" w:type="dxa"/>
            <w:vAlign w:val="bottom"/>
            <w:gridSpan w:val="4"/>
          </w:tcPr>
          <w:p>
            <w:pPr>
              <w:spacing w:after="0"/>
              <w:rPr>
                <w:sz w:val="20"/>
                <w:szCs w:val="20"/>
                <w:color w:val="auto"/>
              </w:rPr>
            </w:pPr>
            <w:r>
              <w:rPr>
                <w:rFonts w:ascii="Arial" w:cs="Arial" w:eastAsia="Arial" w:hAnsi="Arial"/>
                <w:sz w:val="17"/>
                <w:szCs w:val="17"/>
                <w:color w:val="auto"/>
              </w:rPr>
              <w:t>(d) Exhibits</w:t>
            </w:r>
          </w:p>
        </w:tc>
        <w:tc>
          <w:tcPr>
            <w:tcW w:w="840" w:type="dxa"/>
            <w:vAlign w:val="bottom"/>
          </w:tcPr>
          <w:p>
            <w:pPr>
              <w:spacing w:after="0"/>
              <w:rPr>
                <w:sz w:val="18"/>
                <w:szCs w:val="18"/>
                <w:color w:val="auto"/>
              </w:rPr>
            </w:pPr>
          </w:p>
        </w:tc>
        <w:tc>
          <w:tcPr>
            <w:tcW w:w="8740" w:type="dxa"/>
            <w:vAlign w:val="bottom"/>
          </w:tcPr>
          <w:p>
            <w:pPr>
              <w:spacing w:after="0"/>
              <w:rPr>
                <w:sz w:val="18"/>
                <w:szCs w:val="18"/>
                <w:color w:val="auto"/>
              </w:rPr>
            </w:pPr>
          </w:p>
        </w:tc>
      </w:tr>
      <w:tr>
        <w:trPr>
          <w:trHeight w:val="309"/>
        </w:trPr>
        <w:tc>
          <w:tcPr>
            <w:tcW w:w="2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Arial" w:cs="Arial" w:eastAsia="Arial" w:hAnsi="Arial"/>
                <w:sz w:val="17"/>
                <w:szCs w:val="17"/>
                <w:b w:val="1"/>
                <w:bCs w:val="1"/>
                <w:color w:val="auto"/>
                <w:w w:val="92"/>
              </w:rPr>
              <w:t>Exhibit No.</w:t>
            </w:r>
          </w:p>
        </w:tc>
        <w:tc>
          <w:tcPr>
            <w:tcW w:w="800" w:type="dxa"/>
            <w:vAlign w:val="bottom"/>
          </w:tcPr>
          <w:p>
            <w:pPr>
              <w:spacing w:after="0"/>
              <w:rPr>
                <w:sz w:val="24"/>
                <w:szCs w:val="24"/>
                <w:color w:val="auto"/>
              </w:rPr>
            </w:pPr>
          </w:p>
        </w:tc>
        <w:tc>
          <w:tcPr>
            <w:tcW w:w="9580" w:type="dxa"/>
            <w:vAlign w:val="bottom"/>
            <w:gridSpan w:val="2"/>
          </w:tcPr>
          <w:p>
            <w:pPr>
              <w:spacing w:after="0"/>
              <w:rPr>
                <w:sz w:val="20"/>
                <w:szCs w:val="20"/>
                <w:color w:val="auto"/>
              </w:rPr>
            </w:pPr>
            <w:r>
              <w:rPr>
                <w:rFonts w:ascii="Arial" w:cs="Arial" w:eastAsia="Arial" w:hAnsi="Arial"/>
                <w:sz w:val="17"/>
                <w:szCs w:val="17"/>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r>
      <w:tr>
        <w:trPr>
          <w:trHeight w:val="198"/>
        </w:trPr>
        <w:tc>
          <w:tcPr>
            <w:tcW w:w="860" w:type="dxa"/>
            <w:vAlign w:val="bottom"/>
            <w:gridSpan w:val="3"/>
          </w:tcPr>
          <w:p>
            <w:pPr>
              <w:ind w:left="20"/>
              <w:spacing w:after="0"/>
              <w:rPr>
                <w:sz w:val="20"/>
                <w:szCs w:val="20"/>
                <w:color w:val="auto"/>
              </w:rPr>
            </w:pPr>
            <w:r>
              <w:rPr>
                <w:rFonts w:ascii="Arial" w:cs="Arial" w:eastAsia="Arial" w:hAnsi="Arial"/>
                <w:sz w:val="17"/>
                <w:szCs w:val="17"/>
                <w:color w:val="0000FF"/>
              </w:rPr>
              <w:t>99.</w:t>
            </w:r>
            <w:r>
              <w:rPr>
                <w:rFonts w:ascii="Arial" w:cs="Arial" w:eastAsia="Arial" w:hAnsi="Arial"/>
                <w:sz w:val="17"/>
                <w:szCs w:val="17"/>
                <w:u w:val="single" w:color="auto"/>
                <w:color w:val="0000FF"/>
              </w:rPr>
              <w:t>1</w:t>
            </w:r>
          </w:p>
        </w:tc>
        <w:tc>
          <w:tcPr>
            <w:tcW w:w="800" w:type="dxa"/>
            <w:vAlign w:val="bottom"/>
          </w:tcPr>
          <w:p>
            <w:pPr>
              <w:spacing w:after="0"/>
              <w:rPr>
                <w:sz w:val="17"/>
                <w:szCs w:val="17"/>
                <w:color w:val="auto"/>
              </w:rPr>
            </w:pPr>
          </w:p>
        </w:tc>
        <w:tc>
          <w:tcPr>
            <w:tcW w:w="9580" w:type="dxa"/>
            <w:vAlign w:val="bottom"/>
            <w:gridSpan w:val="2"/>
          </w:tcPr>
          <w:p>
            <w:pPr>
              <w:spacing w:after="0"/>
              <w:rPr>
                <w:sz w:val="20"/>
                <w:szCs w:val="20"/>
                <w:color w:val="auto"/>
              </w:rPr>
            </w:pPr>
            <w:r>
              <w:rPr>
                <w:rFonts w:ascii="Arial" w:cs="Arial" w:eastAsia="Arial" w:hAnsi="Arial"/>
                <w:sz w:val="17"/>
                <w:szCs w:val="17"/>
                <w:color w:val="auto"/>
              </w:rPr>
              <w:t>Press Release, dated October 26, 2023</w:t>
            </w: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580" w:type="dxa"/>
            <w:vAlign w:val="bottom"/>
            <w:gridSpan w:val="2"/>
          </w:tcPr>
          <w:p>
            <w:pPr>
              <w:spacing w:after="0" w:line="20" w:lineRule="exact"/>
              <w:rPr>
                <w:sz w:val="1"/>
                <w:szCs w:val="1"/>
                <w:color w:val="auto"/>
              </w:rPr>
            </w:pPr>
          </w:p>
        </w:tc>
      </w:tr>
      <w:tr>
        <w:trPr>
          <w:trHeight w:val="235"/>
        </w:trPr>
        <w:tc>
          <w:tcPr>
            <w:tcW w:w="320" w:type="dxa"/>
            <w:vAlign w:val="bottom"/>
            <w:gridSpan w:val="2"/>
          </w:tcPr>
          <w:p>
            <w:pPr>
              <w:ind w:left="20"/>
              <w:spacing w:after="0"/>
              <w:rPr>
                <w:sz w:val="20"/>
                <w:szCs w:val="20"/>
                <w:color w:val="auto"/>
              </w:rPr>
            </w:pPr>
            <w:r>
              <w:rPr>
                <w:rFonts w:ascii="Arial" w:cs="Arial" w:eastAsia="Arial" w:hAnsi="Arial"/>
                <w:sz w:val="17"/>
                <w:szCs w:val="17"/>
                <w:color w:val="auto"/>
                <w:w w:val="98"/>
              </w:rPr>
              <w:t>104</w:t>
            </w: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80" w:type="dxa"/>
            <w:vAlign w:val="bottom"/>
            <w:gridSpan w:val="2"/>
          </w:tcPr>
          <w:p>
            <w:pPr>
              <w:spacing w:after="0"/>
              <w:rPr>
                <w:sz w:val="20"/>
                <w:szCs w:val="20"/>
                <w:color w:val="auto"/>
              </w:rPr>
            </w:pPr>
            <w:r>
              <w:rPr>
                <w:rFonts w:ascii="Arial" w:cs="Arial" w:eastAsia="Arial" w:hAnsi="Arial"/>
                <w:sz w:val="17"/>
                <w:szCs w:val="17"/>
                <w:color w:val="auto"/>
              </w:rPr>
              <w:t>Cover Page Interactive Data File, formatted in inline XBRL</w:t>
            </w:r>
          </w:p>
        </w:tc>
      </w:tr>
      <w:tr>
        <w:trPr>
          <w:trHeight w:val="1351"/>
        </w:trPr>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6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2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353" w:lineRule="exact"/>
        <w:rPr>
          <w:sz w:val="20"/>
          <w:szCs w:val="20"/>
          <w:color w:val="auto"/>
        </w:rPr>
      </w:pPr>
    </w:p>
    <w:p>
      <w:pPr>
        <w:ind w:left="20"/>
        <w:spacing w:after="0"/>
        <w:tabs>
          <w:tab w:leader="none" w:pos="4400" w:val="left"/>
        </w:tabs>
        <w:rPr>
          <w:sz w:val="20"/>
          <w:szCs w:val="20"/>
          <w:color w:val="auto"/>
        </w:rPr>
      </w:pPr>
      <w:r>
        <w:rPr>
          <w:rFonts w:ascii="Arial" w:cs="Arial" w:eastAsia="Arial" w:hAnsi="Arial"/>
          <w:sz w:val="17"/>
          <w:szCs w:val="17"/>
          <w:color w:val="auto"/>
        </w:rPr>
        <w:t>Date: October 26, 2023</w:t>
      </w:r>
      <w:r>
        <w:rPr>
          <w:sz w:val="20"/>
          <w:szCs w:val="20"/>
          <w:color w:val="auto"/>
        </w:rPr>
        <w:tab/>
      </w:r>
      <w:r>
        <w:rPr>
          <w:rFonts w:ascii="Arial" w:cs="Arial" w:eastAsia="Arial" w:hAnsi="Arial"/>
          <w:sz w:val="15"/>
          <w:szCs w:val="15"/>
          <w:b w:val="1"/>
          <w:bCs w:val="1"/>
          <w:color w:val="auto"/>
        </w:rPr>
        <w:t>World Kinect Corporation</w:t>
      </w:r>
    </w:p>
    <w:p>
      <w:pPr>
        <w:spacing w:after="0" w:line="244"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13970</wp:posOffset>
            </wp:positionV>
            <wp:extent cx="34721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pacing w:after="0" w:line="15"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Ira M. Birns</w:t>
      </w:r>
    </w:p>
    <w:p>
      <w:pPr>
        <w:spacing w:after="0" w:line="22"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Executive Vice President and Chief Financial Officer</w:t>
      </w:r>
    </w:p>
    <w:p>
      <w:pPr>
        <w:sectPr>
          <w:pgSz w:w="11900" w:h="16838" w:orient="portrait"/>
          <w:cols w:equalWidth="0" w:num="1">
            <w:col w:w="11240"/>
          </w:cols>
          <w:pgMar w:left="320" w:top="1062"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610235</wp:posOffset>
            </wp:positionV>
            <wp:extent cx="1219835" cy="658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19835" cy="65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World Kinect Corporation Reports Third Quarter 2023 Results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Third Quarter 2023 Highlights</w:t>
      </w:r>
    </w:p>
    <w:p>
      <w:pPr>
        <w:spacing w:after="0" w:line="221" w:lineRule="exact"/>
        <w:rPr>
          <w:sz w:val="20"/>
          <w:szCs w:val="20"/>
          <w:color w:val="auto"/>
        </w:rPr>
      </w:pPr>
    </w:p>
    <w:p>
      <w:pPr>
        <w:ind w:left="600" w:hanging="290"/>
        <w:spacing w:after="0"/>
        <w:tabs>
          <w:tab w:leader="none" w:pos="600" w:val="left"/>
        </w:tabs>
        <w:numPr>
          <w:ilvl w:val="0"/>
          <w:numId w:val="2"/>
        </w:numPr>
        <w:rPr>
          <w:rFonts w:ascii="Arial" w:cs="Arial" w:eastAsia="Arial" w:hAnsi="Arial"/>
          <w:sz w:val="19"/>
          <w:szCs w:val="19"/>
          <w:color w:val="auto"/>
        </w:rPr>
      </w:pPr>
      <w:r>
        <w:rPr>
          <w:rFonts w:ascii="Arial" w:cs="Arial" w:eastAsia="Arial" w:hAnsi="Arial"/>
          <w:sz w:val="19"/>
          <w:szCs w:val="19"/>
          <w:color w:val="auto"/>
        </w:rPr>
        <w:t>Gross profit decreased 13% to $281 million</w:t>
      </w:r>
    </w:p>
    <w:p>
      <w:pPr>
        <w:spacing w:after="0" w:line="20" w:lineRule="exact"/>
        <w:rPr>
          <w:rFonts w:ascii="Arial" w:cs="Arial" w:eastAsia="Arial" w:hAnsi="Arial"/>
          <w:sz w:val="19"/>
          <w:szCs w:val="19"/>
          <w:color w:val="auto"/>
        </w:rPr>
      </w:pPr>
    </w:p>
    <w:p>
      <w:pPr>
        <w:ind w:left="600" w:hanging="290"/>
        <w:spacing w:after="0"/>
        <w:tabs>
          <w:tab w:leader="none" w:pos="600" w:val="left"/>
        </w:tabs>
        <w:numPr>
          <w:ilvl w:val="0"/>
          <w:numId w:val="2"/>
        </w:numPr>
        <w:rPr>
          <w:rFonts w:ascii="Arial" w:cs="Arial" w:eastAsia="Arial" w:hAnsi="Arial"/>
          <w:sz w:val="19"/>
          <w:szCs w:val="19"/>
          <w:color w:val="auto"/>
        </w:rPr>
      </w:pPr>
      <w:r>
        <w:rPr>
          <w:rFonts w:ascii="Arial" w:cs="Arial" w:eastAsia="Arial" w:hAnsi="Arial"/>
          <w:sz w:val="19"/>
          <w:szCs w:val="19"/>
          <w:color w:val="auto"/>
        </w:rPr>
        <w:t>Net income decreased 18% to $35 million</w:t>
      </w:r>
    </w:p>
    <w:p>
      <w:pPr>
        <w:spacing w:after="0" w:line="6" w:lineRule="exact"/>
        <w:rPr>
          <w:rFonts w:ascii="Arial" w:cs="Arial" w:eastAsia="Arial" w:hAnsi="Arial"/>
          <w:sz w:val="19"/>
          <w:szCs w:val="19"/>
          <w:color w:val="auto"/>
        </w:rPr>
      </w:pPr>
    </w:p>
    <w:p>
      <w:pPr>
        <w:ind w:left="600" w:hanging="290"/>
        <w:spacing w:after="0"/>
        <w:tabs>
          <w:tab w:leader="none" w:pos="600" w:val="left"/>
        </w:tabs>
        <w:numPr>
          <w:ilvl w:val="0"/>
          <w:numId w:val="2"/>
        </w:numPr>
        <w:rPr>
          <w:rFonts w:ascii="Arial" w:cs="Arial" w:eastAsia="Arial" w:hAnsi="Arial"/>
          <w:sz w:val="19"/>
          <w:szCs w:val="19"/>
          <w:color w:val="auto"/>
        </w:rPr>
      </w:pPr>
      <w:r>
        <w:rPr>
          <w:rFonts w:ascii="Arial" w:cs="Arial" w:eastAsia="Arial" w:hAnsi="Arial"/>
          <w:sz w:val="19"/>
          <w:szCs w:val="19"/>
          <w:color w:val="auto"/>
        </w:rPr>
        <w:t>GAAP diluted earnings and Adjusted diluted earnings per share of $0.58</w:t>
      </w:r>
    </w:p>
    <w:p>
      <w:pPr>
        <w:spacing w:after="0" w:line="4" w:lineRule="exact"/>
        <w:rPr>
          <w:rFonts w:ascii="Arial" w:cs="Arial" w:eastAsia="Arial" w:hAnsi="Arial"/>
          <w:sz w:val="19"/>
          <w:szCs w:val="19"/>
          <w:color w:val="auto"/>
        </w:rPr>
      </w:pPr>
    </w:p>
    <w:p>
      <w:pPr>
        <w:ind w:left="600" w:hanging="290"/>
        <w:spacing w:after="0"/>
        <w:tabs>
          <w:tab w:leader="none" w:pos="600" w:val="left"/>
        </w:tabs>
        <w:numPr>
          <w:ilvl w:val="0"/>
          <w:numId w:val="2"/>
        </w:numPr>
        <w:rPr>
          <w:rFonts w:ascii="Arial" w:cs="Arial" w:eastAsia="Arial" w:hAnsi="Arial"/>
          <w:sz w:val="19"/>
          <w:szCs w:val="19"/>
          <w:color w:val="auto"/>
        </w:rPr>
      </w:pPr>
      <w:r>
        <w:rPr>
          <w:rFonts w:ascii="Arial" w:cs="Arial" w:eastAsia="Arial" w:hAnsi="Arial"/>
          <w:sz w:val="19"/>
          <w:szCs w:val="19"/>
          <w:color w:val="auto"/>
        </w:rPr>
        <w:t>Adjusted EBITDA decreased 18% to $101 million</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color w:val="auto"/>
        </w:rPr>
        <w:t>MIAMI—October 26, 2023—World Kinect Corporation (NYSE: WKC) today reported financial results for the third quarter of 2023.</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Results compared to the same period last year are as follows (unaudited - in millions, except percentages and per share data):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9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6"/>
          </w:tcPr>
          <w:p>
            <w:pPr>
              <w:jc w:val="right"/>
              <w:ind w:right="375"/>
              <w:spacing w:after="0"/>
              <w:rPr>
                <w:sz w:val="20"/>
                <w:szCs w:val="20"/>
                <w:color w:val="auto"/>
              </w:rPr>
            </w:pPr>
            <w:r>
              <w:rPr>
                <w:rFonts w:ascii="Arial" w:cs="Arial" w:eastAsia="Arial" w:hAnsi="Arial"/>
                <w:sz w:val="17"/>
                <w:szCs w:val="17"/>
                <w:b w:val="1"/>
                <w:bCs w:val="1"/>
                <w:color w:val="auto"/>
                <w:w w:val="98"/>
              </w:rPr>
              <w:t>Three Months Ended September 30,</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6"/>
          </w:tcPr>
          <w:p>
            <w:pPr>
              <w:jc w:val="right"/>
              <w:ind w:right="415"/>
              <w:spacing w:after="0"/>
              <w:rPr>
                <w:sz w:val="20"/>
                <w:szCs w:val="20"/>
                <w:color w:val="auto"/>
              </w:rPr>
            </w:pPr>
            <w:r>
              <w:rPr>
                <w:rFonts w:ascii="Arial" w:cs="Arial" w:eastAsia="Arial" w:hAnsi="Arial"/>
                <w:sz w:val="17"/>
                <w:szCs w:val="17"/>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5"/>
              <w:spacing w:after="0"/>
              <w:rPr>
                <w:sz w:val="20"/>
                <w:szCs w:val="20"/>
                <w:color w:val="auto"/>
              </w:rPr>
            </w:pPr>
            <w:r>
              <w:rPr>
                <w:rFonts w:ascii="Arial" w:cs="Arial" w:eastAsia="Arial" w:hAnsi="Arial"/>
                <w:sz w:val="17"/>
                <w:szCs w:val="17"/>
                <w:b w:val="1"/>
                <w:bCs w:val="1"/>
                <w:color w:val="auto"/>
              </w:rPr>
              <w:t>2023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5"/>
              <w:spacing w:after="0"/>
              <w:rPr>
                <w:sz w:val="20"/>
                <w:szCs w:val="20"/>
                <w:color w:val="auto"/>
              </w:rPr>
            </w:pPr>
            <w:r>
              <w:rPr>
                <w:rFonts w:ascii="Arial" w:cs="Arial" w:eastAsia="Arial" w:hAnsi="Arial"/>
                <w:sz w:val="17"/>
                <w:szCs w:val="17"/>
                <w:color w:val="auto"/>
              </w:rPr>
              <w:t>2022</w:t>
            </w:r>
          </w:p>
        </w:tc>
        <w:tc>
          <w:tcPr>
            <w:tcW w:w="160" w:type="dxa"/>
            <w:vAlign w:val="bottom"/>
          </w:tcPr>
          <w:p>
            <w:pPr>
              <w:spacing w:after="0"/>
              <w:rPr>
                <w:sz w:val="18"/>
                <w:szCs w:val="18"/>
                <w:color w:val="auto"/>
              </w:rPr>
            </w:pPr>
          </w:p>
        </w:tc>
        <w:tc>
          <w:tcPr>
            <w:tcW w:w="1240" w:type="dxa"/>
            <w:vAlign w:val="bottom"/>
            <w:gridSpan w:val="2"/>
          </w:tcPr>
          <w:p>
            <w:pPr>
              <w:ind w:left="260"/>
              <w:spacing w:after="0"/>
              <w:rPr>
                <w:sz w:val="20"/>
                <w:szCs w:val="20"/>
                <w:color w:val="auto"/>
              </w:rPr>
            </w:pPr>
            <w:r>
              <w:rPr>
                <w:rFonts w:ascii="Arial" w:cs="Arial" w:eastAsia="Arial" w:hAnsi="Arial"/>
                <w:sz w:val="17"/>
                <w:szCs w:val="17"/>
                <w:i w:val="1"/>
                <w:iCs w:val="1"/>
                <w:color w:val="auto"/>
              </w:rPr>
              <w:t>Change</w:t>
            </w:r>
          </w:p>
        </w:tc>
        <w:tc>
          <w:tcPr>
            <w:tcW w:w="240" w:type="dxa"/>
            <w:vAlign w:val="bottom"/>
          </w:tcPr>
          <w:p>
            <w:pPr>
              <w:spacing w:after="0"/>
              <w:rPr>
                <w:sz w:val="18"/>
                <w:szCs w:val="18"/>
                <w:color w:val="auto"/>
              </w:rPr>
            </w:pPr>
          </w:p>
        </w:tc>
        <w:tc>
          <w:tcPr>
            <w:tcW w:w="840" w:type="dxa"/>
            <w:vAlign w:val="bottom"/>
          </w:tcPr>
          <w:p>
            <w:pPr>
              <w:jc w:val="right"/>
              <w:ind w:right="295"/>
              <w:spacing w:after="0"/>
              <w:rPr>
                <w:sz w:val="20"/>
                <w:szCs w:val="20"/>
                <w:color w:val="auto"/>
              </w:rPr>
            </w:pPr>
            <w:r>
              <w:rPr>
                <w:rFonts w:ascii="Arial" w:cs="Arial" w:eastAsia="Arial" w:hAnsi="Arial"/>
                <w:sz w:val="17"/>
                <w:szCs w:val="17"/>
                <w:b w:val="1"/>
                <w:bCs w:val="1"/>
                <w:color w:val="auto"/>
              </w:rPr>
              <w:t>2023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5"/>
              <w:spacing w:after="0"/>
              <w:rPr>
                <w:sz w:val="20"/>
                <w:szCs w:val="20"/>
                <w:color w:val="auto"/>
              </w:rPr>
            </w:pPr>
            <w:r>
              <w:rPr>
                <w:rFonts w:ascii="Arial" w:cs="Arial" w:eastAsia="Arial" w:hAnsi="Arial"/>
                <w:sz w:val="17"/>
                <w:szCs w:val="17"/>
                <w:color w:val="auto"/>
              </w:rPr>
              <w:t>2022</w:t>
            </w:r>
          </w:p>
        </w:tc>
        <w:tc>
          <w:tcPr>
            <w:tcW w:w="160" w:type="dxa"/>
            <w:vAlign w:val="bottom"/>
          </w:tcPr>
          <w:p>
            <w:pPr>
              <w:spacing w:after="0"/>
              <w:rPr>
                <w:sz w:val="18"/>
                <w:szCs w:val="18"/>
                <w:color w:val="auto"/>
              </w:rPr>
            </w:pPr>
          </w:p>
        </w:tc>
        <w:tc>
          <w:tcPr>
            <w:tcW w:w="1080" w:type="dxa"/>
            <w:vAlign w:val="bottom"/>
          </w:tcPr>
          <w:p>
            <w:pPr>
              <w:jc w:val="right"/>
              <w:ind w:right="195"/>
              <w:spacing w:after="0"/>
              <w:rPr>
                <w:sz w:val="20"/>
                <w:szCs w:val="20"/>
                <w:color w:val="auto"/>
              </w:rPr>
            </w:pPr>
            <w:r>
              <w:rPr>
                <w:rFonts w:ascii="Arial" w:cs="Arial" w:eastAsia="Arial" w:hAnsi="Arial"/>
                <w:sz w:val="17"/>
                <w:szCs w:val="17"/>
                <w:i w:val="1"/>
                <w:iCs w:val="1"/>
                <w:color w:val="auto"/>
              </w:rPr>
              <w:t>Change</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7"/>
                <w:szCs w:val="17"/>
                <w:color w:val="auto"/>
              </w:rPr>
              <w:t xml:space="preserve">Volume </w:t>
            </w:r>
            <w:r>
              <w:rPr>
                <w:rFonts w:ascii="Arial" w:cs="Arial" w:eastAsia="Arial" w:hAnsi="Arial"/>
                <w:sz w:val="22"/>
                <w:szCs w:val="22"/>
                <w:color w:val="auto"/>
                <w:vertAlign w:val="superscript"/>
              </w:rPr>
              <w:t>(1)</w:t>
            </w: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4,536</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4,629</w:t>
            </w: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i w:val="1"/>
                <w:iCs w:val="1"/>
                <w:color w:val="auto"/>
              </w:rPr>
              <w:t>(2)%</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13,473</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13,757</w:t>
            </w: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i w:val="1"/>
                <w:iCs w:val="1"/>
                <w:color w:val="auto"/>
              </w:rPr>
              <w:t>(2)%</w:t>
            </w:r>
          </w:p>
        </w:tc>
        <w:tc>
          <w:tcPr>
            <w:tcW w:w="0" w:type="dxa"/>
            <w:vAlign w:val="bottom"/>
          </w:tcPr>
          <w:p>
            <w:pPr>
              <w:spacing w:after="0"/>
              <w:rPr>
                <w:sz w:val="1"/>
                <w:szCs w:val="1"/>
                <w:color w:val="auto"/>
              </w:rPr>
            </w:pPr>
          </w:p>
        </w:tc>
      </w:tr>
      <w:tr>
        <w:trPr>
          <w:trHeight w:val="218"/>
        </w:trPr>
        <w:tc>
          <w:tcPr>
            <w:tcW w:w="3940" w:type="dxa"/>
            <w:vAlign w:val="bottom"/>
          </w:tcPr>
          <w:p>
            <w:pPr>
              <w:ind w:left="20"/>
              <w:spacing w:after="0"/>
              <w:rPr>
                <w:sz w:val="20"/>
                <w:szCs w:val="20"/>
                <w:color w:val="auto"/>
              </w:rPr>
            </w:pPr>
            <w:r>
              <w:rPr>
                <w:rFonts w:ascii="Arial" w:cs="Arial" w:eastAsia="Arial" w:hAnsi="Arial"/>
                <w:sz w:val="17"/>
                <w:szCs w:val="17"/>
                <w:color w:val="auto"/>
              </w:rPr>
              <w:t>Revenue</w:t>
            </w:r>
          </w:p>
        </w:tc>
        <w:tc>
          <w:tcPr>
            <w:tcW w:w="240" w:type="dxa"/>
            <w:vAlign w:val="bottom"/>
          </w:tcPr>
          <w:p>
            <w:pPr>
              <w:jc w:val="right"/>
              <w:ind w:right="55"/>
              <w:spacing w:after="0"/>
              <w:rPr>
                <w:sz w:val="20"/>
                <w:szCs w:val="20"/>
                <w:color w:val="auto"/>
              </w:rPr>
            </w:pPr>
            <w:r>
              <w:rPr>
                <w:rFonts w:ascii="Arial" w:cs="Arial" w:eastAsia="Arial" w:hAnsi="Arial"/>
                <w:sz w:val="17"/>
                <w:szCs w:val="17"/>
                <w:b w:val="1"/>
                <w:bCs w:val="1"/>
                <w:color w:val="auto"/>
                <w:w w:val="84"/>
              </w:rPr>
              <w:t>$</w:t>
            </w:r>
          </w:p>
        </w:tc>
        <w:tc>
          <w:tcPr>
            <w:tcW w:w="860" w:type="dxa"/>
            <w:vAlign w:val="bottom"/>
          </w:tcPr>
          <w:p>
            <w:pPr>
              <w:jc w:val="right"/>
              <w:ind w:right="35"/>
              <w:spacing w:after="0"/>
              <w:rPr>
                <w:sz w:val="20"/>
                <w:szCs w:val="20"/>
                <w:color w:val="auto"/>
              </w:rPr>
            </w:pPr>
            <w:r>
              <w:rPr>
                <w:rFonts w:ascii="Arial" w:cs="Arial" w:eastAsia="Arial" w:hAnsi="Arial"/>
                <w:sz w:val="17"/>
                <w:szCs w:val="17"/>
                <w:b w:val="1"/>
                <w:bCs w:val="1"/>
                <w:color w:val="auto"/>
              </w:rPr>
              <w:t>12,245</w:t>
            </w:r>
          </w:p>
        </w:tc>
        <w:tc>
          <w:tcPr>
            <w:tcW w:w="140" w:type="dxa"/>
            <w:vAlign w:val="bottom"/>
          </w:tcPr>
          <w:p>
            <w:pPr>
              <w:spacing w:after="0"/>
              <w:rPr>
                <w:sz w:val="18"/>
                <w:szCs w:val="18"/>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15,661</w:t>
            </w:r>
          </w:p>
        </w:tc>
        <w:tc>
          <w:tcPr>
            <w:tcW w:w="160" w:type="dxa"/>
            <w:vAlign w:val="bottom"/>
          </w:tcPr>
          <w:p>
            <w:pPr>
              <w:spacing w:after="0"/>
              <w:rPr>
                <w:sz w:val="18"/>
                <w:szCs w:val="18"/>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i w:val="1"/>
                <w:iCs w:val="1"/>
                <w:color w:val="auto"/>
              </w:rPr>
              <w:t>(22)%</w:t>
            </w:r>
          </w:p>
        </w:tc>
        <w:tc>
          <w:tcPr>
            <w:tcW w:w="16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b w:val="1"/>
                <w:bCs w:val="1"/>
                <w:color w:val="auto"/>
                <w:w w:val="84"/>
              </w:rPr>
              <w:t>$</w:t>
            </w:r>
          </w:p>
        </w:tc>
        <w:tc>
          <w:tcPr>
            <w:tcW w:w="840" w:type="dxa"/>
            <w:vAlign w:val="bottom"/>
          </w:tcPr>
          <w:p>
            <w:pPr>
              <w:jc w:val="right"/>
              <w:ind w:right="35"/>
              <w:spacing w:after="0"/>
              <w:rPr>
                <w:sz w:val="20"/>
                <w:szCs w:val="20"/>
                <w:color w:val="auto"/>
              </w:rPr>
            </w:pPr>
            <w:r>
              <w:rPr>
                <w:rFonts w:ascii="Arial" w:cs="Arial" w:eastAsia="Arial" w:hAnsi="Arial"/>
                <w:sz w:val="17"/>
                <w:szCs w:val="17"/>
                <w:b w:val="1"/>
                <w:bCs w:val="1"/>
                <w:color w:val="auto"/>
              </w:rPr>
              <w:t>35,708</w:t>
            </w:r>
          </w:p>
        </w:tc>
        <w:tc>
          <w:tcPr>
            <w:tcW w:w="16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ind w:right="35"/>
              <w:spacing w:after="0"/>
              <w:rPr>
                <w:sz w:val="20"/>
                <w:szCs w:val="20"/>
                <w:color w:val="auto"/>
              </w:rPr>
            </w:pPr>
            <w:r>
              <w:rPr>
                <w:rFonts w:ascii="Arial" w:cs="Arial" w:eastAsia="Arial" w:hAnsi="Arial"/>
                <w:sz w:val="17"/>
                <w:szCs w:val="17"/>
                <w:color w:val="auto"/>
              </w:rPr>
              <w:t>45,165</w:t>
            </w:r>
          </w:p>
        </w:tc>
        <w:tc>
          <w:tcPr>
            <w:tcW w:w="160" w:type="dxa"/>
            <w:vAlign w:val="bottom"/>
          </w:tcPr>
          <w:p>
            <w:pPr>
              <w:spacing w:after="0"/>
              <w:rPr>
                <w:sz w:val="18"/>
                <w:szCs w:val="18"/>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i w:val="1"/>
                <w:iCs w:val="1"/>
                <w:color w:val="auto"/>
              </w:rPr>
              <w:t>(21)%</w:t>
            </w:r>
          </w:p>
        </w:tc>
        <w:tc>
          <w:tcPr>
            <w:tcW w:w="0" w:type="dxa"/>
            <w:vAlign w:val="bottom"/>
          </w:tcPr>
          <w:p>
            <w:pPr>
              <w:spacing w:after="0"/>
              <w:rPr>
                <w:sz w:val="1"/>
                <w:szCs w:val="1"/>
                <w:color w:val="auto"/>
              </w:rPr>
            </w:pPr>
          </w:p>
        </w:tc>
      </w:tr>
      <w:tr>
        <w:trPr>
          <w:trHeight w:val="218"/>
        </w:trPr>
        <w:tc>
          <w:tcPr>
            <w:tcW w:w="3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w w:val="84"/>
              </w:rPr>
              <w:t>$</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281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322</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7"/>
                <w:szCs w:val="17"/>
                <w:i w:val="1"/>
                <w:iCs w:val="1"/>
                <w:color w:val="auto"/>
              </w:rPr>
              <w:t>(13)%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w w:val="84"/>
              </w:rPr>
              <w:t>$</w:t>
            </w: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826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807</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7"/>
                <w:szCs w:val="17"/>
                <w:i w:val="1"/>
                <w:iCs w:val="1"/>
                <w:color w:val="auto"/>
              </w:rPr>
              <w:t>2%</w:t>
            </w:r>
          </w:p>
        </w:tc>
        <w:tc>
          <w:tcPr>
            <w:tcW w:w="0" w:type="dxa"/>
            <w:vAlign w:val="bottom"/>
          </w:tcPr>
          <w:p>
            <w:pPr>
              <w:spacing w:after="0"/>
              <w:rPr>
                <w:sz w:val="1"/>
                <w:szCs w:val="1"/>
                <w:color w:val="auto"/>
              </w:rPr>
            </w:pPr>
          </w:p>
        </w:tc>
      </w:tr>
      <w:tr>
        <w:trPr>
          <w:trHeight w:val="218"/>
        </w:trPr>
        <w:tc>
          <w:tcPr>
            <w:tcW w:w="3940" w:type="dxa"/>
            <w:vAlign w:val="bottom"/>
          </w:tcPr>
          <w:p>
            <w:pPr>
              <w:ind w:left="20"/>
              <w:spacing w:after="0"/>
              <w:rPr>
                <w:sz w:val="20"/>
                <w:szCs w:val="20"/>
                <w:color w:val="auto"/>
              </w:rPr>
            </w:pPr>
            <w:r>
              <w:rPr>
                <w:rFonts w:ascii="Arial" w:cs="Arial" w:eastAsia="Arial" w:hAnsi="Arial"/>
                <w:sz w:val="17"/>
                <w:szCs w:val="17"/>
                <w:color w:val="auto"/>
              </w:rPr>
              <w:t>Income from operations</w:t>
            </w:r>
          </w:p>
        </w:tc>
        <w:tc>
          <w:tcPr>
            <w:tcW w:w="240" w:type="dxa"/>
            <w:vAlign w:val="bottom"/>
          </w:tcPr>
          <w:p>
            <w:pPr>
              <w:jc w:val="right"/>
              <w:ind w:right="55"/>
              <w:spacing w:after="0"/>
              <w:rPr>
                <w:sz w:val="20"/>
                <w:szCs w:val="20"/>
                <w:color w:val="auto"/>
              </w:rPr>
            </w:pPr>
            <w:r>
              <w:rPr>
                <w:rFonts w:ascii="Arial" w:cs="Arial" w:eastAsia="Arial" w:hAnsi="Arial"/>
                <w:sz w:val="17"/>
                <w:szCs w:val="17"/>
                <w:b w:val="1"/>
                <w:bCs w:val="1"/>
                <w:color w:val="auto"/>
                <w:w w:val="84"/>
              </w:rPr>
              <w:t>$</w:t>
            </w:r>
          </w:p>
        </w:tc>
        <w:tc>
          <w:tcPr>
            <w:tcW w:w="860" w:type="dxa"/>
            <w:vAlign w:val="bottom"/>
          </w:tcPr>
          <w:p>
            <w:pPr>
              <w:jc w:val="right"/>
              <w:ind w:right="35"/>
              <w:spacing w:after="0"/>
              <w:rPr>
                <w:sz w:val="20"/>
                <w:szCs w:val="20"/>
                <w:color w:val="auto"/>
              </w:rPr>
            </w:pPr>
            <w:r>
              <w:rPr>
                <w:rFonts w:ascii="Arial" w:cs="Arial" w:eastAsia="Arial" w:hAnsi="Arial"/>
                <w:sz w:val="17"/>
                <w:szCs w:val="17"/>
                <w:b w:val="1"/>
                <w:bCs w:val="1"/>
                <w:color w:val="auto"/>
              </w:rPr>
              <w:t>73</w:t>
            </w:r>
          </w:p>
        </w:tc>
        <w:tc>
          <w:tcPr>
            <w:tcW w:w="140" w:type="dxa"/>
            <w:vAlign w:val="bottom"/>
          </w:tcPr>
          <w:p>
            <w:pPr>
              <w:spacing w:after="0"/>
              <w:rPr>
                <w:sz w:val="18"/>
                <w:szCs w:val="18"/>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18"/>
                <w:szCs w:val="18"/>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i w:val="1"/>
                <w:iCs w:val="1"/>
                <w:color w:val="auto"/>
              </w:rPr>
              <w:t>(27)%</w:t>
            </w:r>
          </w:p>
        </w:tc>
        <w:tc>
          <w:tcPr>
            <w:tcW w:w="16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b w:val="1"/>
                <w:bCs w:val="1"/>
                <w:color w:val="auto"/>
                <w:w w:val="84"/>
              </w:rPr>
              <w:t>$</w:t>
            </w:r>
          </w:p>
        </w:tc>
        <w:tc>
          <w:tcPr>
            <w:tcW w:w="840" w:type="dxa"/>
            <w:vAlign w:val="bottom"/>
          </w:tcPr>
          <w:p>
            <w:pPr>
              <w:jc w:val="right"/>
              <w:ind w:right="35"/>
              <w:spacing w:after="0"/>
              <w:rPr>
                <w:sz w:val="20"/>
                <w:szCs w:val="20"/>
                <w:color w:val="auto"/>
              </w:rPr>
            </w:pPr>
            <w:r>
              <w:rPr>
                <w:rFonts w:ascii="Arial" w:cs="Arial" w:eastAsia="Arial" w:hAnsi="Arial"/>
                <w:sz w:val="17"/>
                <w:szCs w:val="17"/>
                <w:b w:val="1"/>
                <w:bCs w:val="1"/>
                <w:color w:val="auto"/>
              </w:rPr>
              <w:t>213</w:t>
            </w:r>
          </w:p>
        </w:tc>
        <w:tc>
          <w:tcPr>
            <w:tcW w:w="16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ind w:right="35"/>
              <w:spacing w:after="0"/>
              <w:rPr>
                <w:sz w:val="20"/>
                <w:szCs w:val="20"/>
                <w:color w:val="auto"/>
              </w:rPr>
            </w:pPr>
            <w:r>
              <w:rPr>
                <w:rFonts w:ascii="Arial" w:cs="Arial" w:eastAsia="Arial" w:hAnsi="Arial"/>
                <w:sz w:val="17"/>
                <w:szCs w:val="17"/>
                <w:color w:val="auto"/>
              </w:rPr>
              <w:t>194</w:t>
            </w:r>
          </w:p>
        </w:tc>
        <w:tc>
          <w:tcPr>
            <w:tcW w:w="160" w:type="dxa"/>
            <w:vAlign w:val="bottom"/>
          </w:tcPr>
          <w:p>
            <w:pPr>
              <w:spacing w:after="0"/>
              <w:rPr>
                <w:sz w:val="18"/>
                <w:szCs w:val="18"/>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i w:val="1"/>
                <w:iCs w:val="1"/>
                <w:color w:val="auto"/>
              </w:rPr>
              <w:t>10%</w:t>
            </w:r>
          </w:p>
        </w:tc>
        <w:tc>
          <w:tcPr>
            <w:tcW w:w="0" w:type="dxa"/>
            <w:vAlign w:val="bottom"/>
          </w:tcPr>
          <w:p>
            <w:pPr>
              <w:spacing w:after="0"/>
              <w:rPr>
                <w:sz w:val="1"/>
                <w:szCs w:val="1"/>
                <w:color w:val="auto"/>
              </w:rPr>
            </w:pPr>
          </w:p>
        </w:tc>
      </w:tr>
      <w:tr>
        <w:trPr>
          <w:trHeight w:val="167"/>
        </w:trPr>
        <w:tc>
          <w:tcPr>
            <w:tcW w:w="3940" w:type="dxa"/>
            <w:vAlign w:val="bottom"/>
            <w:shd w:val="clear" w:color="auto" w:fill="CCEEFF"/>
          </w:tcPr>
          <w:p>
            <w:pPr>
              <w:ind w:left="220"/>
              <w:spacing w:after="0" w:line="167" w:lineRule="exact"/>
              <w:rPr>
                <w:sz w:val="20"/>
                <w:szCs w:val="20"/>
                <w:color w:val="auto"/>
              </w:rPr>
            </w:pPr>
            <w:r>
              <w:rPr>
                <w:rFonts w:ascii="Arial" w:cs="Arial" w:eastAsia="Arial" w:hAnsi="Arial"/>
                <w:sz w:val="17"/>
                <w:szCs w:val="17"/>
                <w:i w:val="1"/>
                <w:iCs w:val="1"/>
                <w:color w:val="auto"/>
                <w:w w:val="99"/>
              </w:rPr>
              <w:t>Income from operations as a percentage of gross</w:t>
            </w:r>
          </w:p>
        </w:tc>
        <w:tc>
          <w:tcPr>
            <w:tcW w:w="2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i w:val="1"/>
                <w:iCs w:val="1"/>
                <w:color w:val="auto"/>
              </w:rPr>
              <w:t>26%</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i w:val="1"/>
                <w:iCs w:val="1"/>
                <w:color w:val="auto"/>
              </w:rPr>
              <w:t>31%</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i w:val="1"/>
                <w:iCs w:val="1"/>
                <w:color w:val="auto"/>
              </w:rPr>
              <w:t>26%</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i w:val="1"/>
                <w:iCs w:val="1"/>
                <w:color w:val="auto"/>
              </w:rPr>
              <w:t>24%</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940" w:type="dxa"/>
            <w:vAlign w:val="bottom"/>
            <w:vMerge w:val="restart"/>
            <w:shd w:val="clear" w:color="auto" w:fill="CCEEFF"/>
          </w:tcPr>
          <w:p>
            <w:pPr>
              <w:ind w:left="220"/>
              <w:spacing w:after="0"/>
              <w:rPr>
                <w:sz w:val="20"/>
                <w:szCs w:val="20"/>
                <w:color w:val="auto"/>
              </w:rPr>
            </w:pPr>
            <w:r>
              <w:rPr>
                <w:rFonts w:ascii="Arial" w:cs="Arial" w:eastAsia="Arial" w:hAnsi="Arial"/>
                <w:sz w:val="17"/>
                <w:szCs w:val="17"/>
                <w:i w:val="1"/>
                <w:iCs w:val="1"/>
                <w:color w:val="auto"/>
              </w:rPr>
              <w:t>profit</w:t>
            </w:r>
          </w:p>
        </w:tc>
        <w:tc>
          <w:tcPr>
            <w:tcW w:w="240" w:type="dxa"/>
            <w:vAlign w:val="bottom"/>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394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3940" w:type="dxa"/>
            <w:vAlign w:val="bottom"/>
          </w:tcPr>
          <w:p>
            <w:pPr>
              <w:ind w:left="20"/>
              <w:spacing w:after="0"/>
              <w:rPr>
                <w:sz w:val="20"/>
                <w:szCs w:val="20"/>
                <w:color w:val="auto"/>
              </w:rPr>
            </w:pPr>
            <w:r>
              <w:rPr>
                <w:rFonts w:ascii="Arial" w:cs="Arial" w:eastAsia="Arial" w:hAnsi="Arial"/>
                <w:sz w:val="17"/>
                <w:szCs w:val="17"/>
                <w:color w:val="auto"/>
              </w:rPr>
              <w:t>Adjusted income from operations</w:t>
            </w:r>
          </w:p>
        </w:tc>
        <w:tc>
          <w:tcPr>
            <w:tcW w:w="240" w:type="dxa"/>
            <w:vAlign w:val="bottom"/>
          </w:tcPr>
          <w:p>
            <w:pPr>
              <w:jc w:val="right"/>
              <w:ind w:right="55"/>
              <w:spacing w:after="0"/>
              <w:rPr>
                <w:sz w:val="20"/>
                <w:szCs w:val="20"/>
                <w:color w:val="auto"/>
              </w:rPr>
            </w:pPr>
            <w:r>
              <w:rPr>
                <w:rFonts w:ascii="Arial" w:cs="Arial" w:eastAsia="Arial" w:hAnsi="Arial"/>
                <w:sz w:val="17"/>
                <w:szCs w:val="17"/>
                <w:b w:val="1"/>
                <w:bCs w:val="1"/>
                <w:color w:val="auto"/>
                <w:w w:val="84"/>
              </w:rPr>
              <w:t>$</w:t>
            </w:r>
          </w:p>
        </w:tc>
        <w:tc>
          <w:tcPr>
            <w:tcW w:w="860" w:type="dxa"/>
            <w:vAlign w:val="bottom"/>
          </w:tcPr>
          <w:p>
            <w:pPr>
              <w:jc w:val="right"/>
              <w:ind w:right="35"/>
              <w:spacing w:after="0"/>
              <w:rPr>
                <w:sz w:val="20"/>
                <w:szCs w:val="20"/>
                <w:color w:val="auto"/>
              </w:rPr>
            </w:pPr>
            <w:r>
              <w:rPr>
                <w:rFonts w:ascii="Arial" w:cs="Arial" w:eastAsia="Arial" w:hAnsi="Arial"/>
                <w:sz w:val="17"/>
                <w:szCs w:val="17"/>
                <w:b w:val="1"/>
                <w:bCs w:val="1"/>
                <w:color w:val="auto"/>
              </w:rPr>
              <w:t>73</w:t>
            </w:r>
          </w:p>
        </w:tc>
        <w:tc>
          <w:tcPr>
            <w:tcW w:w="140" w:type="dxa"/>
            <w:vAlign w:val="bottom"/>
          </w:tcPr>
          <w:p>
            <w:pPr>
              <w:spacing w:after="0"/>
              <w:rPr>
                <w:sz w:val="18"/>
                <w:szCs w:val="18"/>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99</w:t>
            </w:r>
          </w:p>
        </w:tc>
        <w:tc>
          <w:tcPr>
            <w:tcW w:w="160" w:type="dxa"/>
            <w:vAlign w:val="bottom"/>
          </w:tcPr>
          <w:p>
            <w:pPr>
              <w:spacing w:after="0"/>
              <w:rPr>
                <w:sz w:val="18"/>
                <w:szCs w:val="18"/>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i w:val="1"/>
                <w:iCs w:val="1"/>
                <w:color w:val="auto"/>
              </w:rPr>
              <w:t>(26)%</w:t>
            </w:r>
          </w:p>
        </w:tc>
        <w:tc>
          <w:tcPr>
            <w:tcW w:w="16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b w:val="1"/>
                <w:bCs w:val="1"/>
                <w:color w:val="auto"/>
                <w:w w:val="84"/>
              </w:rPr>
              <w:t>$</w:t>
            </w:r>
          </w:p>
        </w:tc>
        <w:tc>
          <w:tcPr>
            <w:tcW w:w="840" w:type="dxa"/>
            <w:vAlign w:val="bottom"/>
          </w:tcPr>
          <w:p>
            <w:pPr>
              <w:jc w:val="right"/>
              <w:ind w:right="35"/>
              <w:spacing w:after="0"/>
              <w:rPr>
                <w:sz w:val="20"/>
                <w:szCs w:val="20"/>
                <w:color w:val="auto"/>
              </w:rPr>
            </w:pPr>
            <w:r>
              <w:rPr>
                <w:rFonts w:ascii="Arial" w:cs="Arial" w:eastAsia="Arial" w:hAnsi="Arial"/>
                <w:sz w:val="17"/>
                <w:szCs w:val="17"/>
                <w:b w:val="1"/>
                <w:bCs w:val="1"/>
                <w:color w:val="auto"/>
              </w:rPr>
              <w:t>214</w:t>
            </w:r>
          </w:p>
        </w:tc>
        <w:tc>
          <w:tcPr>
            <w:tcW w:w="16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ind w:right="35"/>
              <w:spacing w:after="0"/>
              <w:rPr>
                <w:sz w:val="20"/>
                <w:szCs w:val="20"/>
                <w:color w:val="auto"/>
              </w:rPr>
            </w:pPr>
            <w:r>
              <w:rPr>
                <w:rFonts w:ascii="Arial" w:cs="Arial" w:eastAsia="Arial" w:hAnsi="Arial"/>
                <w:sz w:val="17"/>
                <w:szCs w:val="17"/>
                <w:color w:val="auto"/>
              </w:rPr>
              <w:t>196</w:t>
            </w:r>
          </w:p>
        </w:tc>
        <w:tc>
          <w:tcPr>
            <w:tcW w:w="160" w:type="dxa"/>
            <w:vAlign w:val="bottom"/>
          </w:tcPr>
          <w:p>
            <w:pPr>
              <w:spacing w:after="0"/>
              <w:rPr>
                <w:sz w:val="18"/>
                <w:szCs w:val="18"/>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i w:val="1"/>
                <w:iCs w:val="1"/>
                <w:color w:val="auto"/>
              </w:rPr>
              <w:t>10%</w:t>
            </w:r>
          </w:p>
        </w:tc>
        <w:tc>
          <w:tcPr>
            <w:tcW w:w="0" w:type="dxa"/>
            <w:vAlign w:val="bottom"/>
          </w:tcPr>
          <w:p>
            <w:pPr>
              <w:spacing w:after="0"/>
              <w:rPr>
                <w:sz w:val="1"/>
                <w:szCs w:val="1"/>
                <w:color w:val="auto"/>
              </w:rPr>
            </w:pPr>
          </w:p>
        </w:tc>
      </w:tr>
      <w:tr>
        <w:trPr>
          <w:trHeight w:val="167"/>
        </w:trPr>
        <w:tc>
          <w:tcPr>
            <w:tcW w:w="3940" w:type="dxa"/>
            <w:vAlign w:val="bottom"/>
            <w:shd w:val="clear" w:color="auto" w:fill="CCEEFF"/>
          </w:tcPr>
          <w:p>
            <w:pPr>
              <w:ind w:left="220"/>
              <w:spacing w:after="0" w:line="167" w:lineRule="exact"/>
              <w:rPr>
                <w:sz w:val="20"/>
                <w:szCs w:val="20"/>
                <w:color w:val="auto"/>
              </w:rPr>
            </w:pPr>
            <w:r>
              <w:rPr>
                <w:rFonts w:ascii="Arial" w:cs="Arial" w:eastAsia="Arial" w:hAnsi="Arial"/>
                <w:sz w:val="17"/>
                <w:szCs w:val="17"/>
                <w:i w:val="1"/>
                <w:iCs w:val="1"/>
                <w:color w:val="auto"/>
                <w:w w:val="93"/>
              </w:rPr>
              <w:t>Adjusted income from operations as a percentage of</w:t>
            </w:r>
          </w:p>
        </w:tc>
        <w:tc>
          <w:tcPr>
            <w:tcW w:w="2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i w:val="1"/>
                <w:iCs w:val="1"/>
                <w:color w:val="auto"/>
              </w:rPr>
              <w:t>26%</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i w:val="1"/>
                <w:iCs w:val="1"/>
                <w:color w:val="auto"/>
              </w:rPr>
              <w:t>31%</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i w:val="1"/>
                <w:iCs w:val="1"/>
                <w:color w:val="auto"/>
              </w:rPr>
              <w:t>26%</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i w:val="1"/>
                <w:iCs w:val="1"/>
                <w:color w:val="auto"/>
              </w:rPr>
              <w:t>24%</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940" w:type="dxa"/>
            <w:vAlign w:val="bottom"/>
            <w:vMerge w:val="restart"/>
            <w:shd w:val="clear" w:color="auto" w:fill="CCEEFF"/>
          </w:tcPr>
          <w:p>
            <w:pPr>
              <w:ind w:left="220"/>
              <w:spacing w:after="0"/>
              <w:rPr>
                <w:sz w:val="20"/>
                <w:szCs w:val="20"/>
                <w:color w:val="auto"/>
              </w:rPr>
            </w:pPr>
            <w:r>
              <w:rPr>
                <w:rFonts w:ascii="Arial" w:cs="Arial" w:eastAsia="Arial" w:hAnsi="Arial"/>
                <w:sz w:val="17"/>
                <w:szCs w:val="17"/>
                <w:i w:val="1"/>
                <w:iCs w:val="1"/>
                <w:color w:val="auto"/>
              </w:rPr>
              <w:t>gross profit</w:t>
            </w:r>
          </w:p>
        </w:tc>
        <w:tc>
          <w:tcPr>
            <w:tcW w:w="240" w:type="dxa"/>
            <w:vAlign w:val="bottom"/>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394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3940" w:type="dxa"/>
            <w:vAlign w:val="bottom"/>
          </w:tcPr>
          <w:p>
            <w:pPr>
              <w:ind w:left="20"/>
              <w:spacing w:after="0"/>
              <w:rPr>
                <w:sz w:val="20"/>
                <w:szCs w:val="20"/>
                <w:color w:val="auto"/>
              </w:rPr>
            </w:pPr>
            <w:r>
              <w:rPr>
                <w:rFonts w:ascii="Arial" w:cs="Arial" w:eastAsia="Arial" w:hAnsi="Arial"/>
                <w:sz w:val="17"/>
                <w:szCs w:val="17"/>
                <w:color w:val="auto"/>
              </w:rPr>
              <w:t>Net income (loss) including noncontrolling interest</w:t>
            </w:r>
          </w:p>
        </w:tc>
        <w:tc>
          <w:tcPr>
            <w:tcW w:w="240" w:type="dxa"/>
            <w:vAlign w:val="bottom"/>
          </w:tcPr>
          <w:p>
            <w:pPr>
              <w:jc w:val="right"/>
              <w:ind w:right="55"/>
              <w:spacing w:after="0"/>
              <w:rPr>
                <w:sz w:val="20"/>
                <w:szCs w:val="20"/>
                <w:color w:val="auto"/>
              </w:rPr>
            </w:pPr>
            <w:r>
              <w:rPr>
                <w:rFonts w:ascii="Arial" w:cs="Arial" w:eastAsia="Arial" w:hAnsi="Arial"/>
                <w:sz w:val="17"/>
                <w:szCs w:val="17"/>
                <w:b w:val="1"/>
                <w:bCs w:val="1"/>
                <w:color w:val="auto"/>
                <w:w w:val="84"/>
              </w:rPr>
              <w:t>$</w:t>
            </w:r>
          </w:p>
        </w:tc>
        <w:tc>
          <w:tcPr>
            <w:tcW w:w="860" w:type="dxa"/>
            <w:vAlign w:val="bottom"/>
          </w:tcPr>
          <w:p>
            <w:pPr>
              <w:jc w:val="right"/>
              <w:ind w:right="35"/>
              <w:spacing w:after="0"/>
              <w:rPr>
                <w:sz w:val="20"/>
                <w:szCs w:val="20"/>
                <w:color w:val="auto"/>
              </w:rPr>
            </w:pPr>
            <w:r>
              <w:rPr>
                <w:rFonts w:ascii="Arial" w:cs="Arial" w:eastAsia="Arial" w:hAnsi="Arial"/>
                <w:sz w:val="17"/>
                <w:szCs w:val="17"/>
                <w:b w:val="1"/>
                <w:bCs w:val="1"/>
                <w:color w:val="auto"/>
              </w:rPr>
              <w:t>35</w:t>
            </w:r>
          </w:p>
        </w:tc>
        <w:tc>
          <w:tcPr>
            <w:tcW w:w="140" w:type="dxa"/>
            <w:vAlign w:val="bottom"/>
          </w:tcPr>
          <w:p>
            <w:pPr>
              <w:spacing w:after="0"/>
              <w:rPr>
                <w:sz w:val="18"/>
                <w:szCs w:val="18"/>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44</w:t>
            </w:r>
          </w:p>
        </w:tc>
        <w:tc>
          <w:tcPr>
            <w:tcW w:w="160" w:type="dxa"/>
            <w:vAlign w:val="bottom"/>
          </w:tcPr>
          <w:p>
            <w:pPr>
              <w:spacing w:after="0"/>
              <w:rPr>
                <w:sz w:val="18"/>
                <w:szCs w:val="18"/>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i w:val="1"/>
                <w:iCs w:val="1"/>
                <w:color w:val="auto"/>
              </w:rPr>
              <w:t>(19)%</w:t>
            </w:r>
          </w:p>
        </w:tc>
        <w:tc>
          <w:tcPr>
            <w:tcW w:w="16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b w:val="1"/>
                <w:bCs w:val="1"/>
                <w:color w:val="auto"/>
                <w:w w:val="84"/>
              </w:rPr>
              <w:t>$</w:t>
            </w:r>
          </w:p>
        </w:tc>
        <w:tc>
          <w:tcPr>
            <w:tcW w:w="840" w:type="dxa"/>
            <w:vAlign w:val="bottom"/>
          </w:tcPr>
          <w:p>
            <w:pPr>
              <w:jc w:val="right"/>
              <w:ind w:right="35"/>
              <w:spacing w:after="0"/>
              <w:rPr>
                <w:sz w:val="20"/>
                <w:szCs w:val="20"/>
                <w:color w:val="auto"/>
              </w:rPr>
            </w:pPr>
            <w:r>
              <w:rPr>
                <w:rFonts w:ascii="Arial" w:cs="Arial" w:eastAsia="Arial" w:hAnsi="Arial"/>
                <w:sz w:val="17"/>
                <w:szCs w:val="17"/>
                <w:b w:val="1"/>
                <w:bCs w:val="1"/>
                <w:color w:val="auto"/>
              </w:rPr>
              <w:t>89</w:t>
            </w:r>
          </w:p>
        </w:tc>
        <w:tc>
          <w:tcPr>
            <w:tcW w:w="16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ind w:right="35"/>
              <w:spacing w:after="0"/>
              <w:rPr>
                <w:sz w:val="20"/>
                <w:szCs w:val="20"/>
                <w:color w:val="auto"/>
              </w:rPr>
            </w:pPr>
            <w:r>
              <w:rPr>
                <w:rFonts w:ascii="Arial" w:cs="Arial" w:eastAsia="Arial" w:hAnsi="Arial"/>
                <w:sz w:val="17"/>
                <w:szCs w:val="17"/>
                <w:color w:val="auto"/>
              </w:rPr>
              <w:t>95</w:t>
            </w:r>
          </w:p>
        </w:tc>
        <w:tc>
          <w:tcPr>
            <w:tcW w:w="160" w:type="dxa"/>
            <w:vAlign w:val="bottom"/>
          </w:tcPr>
          <w:p>
            <w:pPr>
              <w:spacing w:after="0"/>
              <w:rPr>
                <w:sz w:val="18"/>
                <w:szCs w:val="18"/>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i w:val="1"/>
                <w:iCs w:val="1"/>
                <w:color w:val="auto"/>
              </w:rPr>
              <w:t>(7)%</w:t>
            </w:r>
          </w:p>
        </w:tc>
        <w:tc>
          <w:tcPr>
            <w:tcW w:w="0" w:type="dxa"/>
            <w:vAlign w:val="bottom"/>
          </w:tcPr>
          <w:p>
            <w:pPr>
              <w:spacing w:after="0"/>
              <w:rPr>
                <w:sz w:val="1"/>
                <w:szCs w:val="1"/>
                <w:color w:val="auto"/>
              </w:rPr>
            </w:pPr>
          </w:p>
        </w:tc>
      </w:tr>
      <w:tr>
        <w:trPr>
          <w:trHeight w:val="218"/>
        </w:trPr>
        <w:tc>
          <w:tcPr>
            <w:tcW w:w="3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w w:val="84"/>
              </w:rPr>
              <w:t>$</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101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123</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7"/>
                <w:szCs w:val="17"/>
                <w:i w:val="1"/>
                <w:iCs w:val="1"/>
                <w:color w:val="auto"/>
              </w:rPr>
              <w:t>(18)%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w w:val="84"/>
              </w:rPr>
              <w:t>$</w:t>
            </w: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287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274</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7"/>
                <w:szCs w:val="17"/>
                <w:i w:val="1"/>
                <w:iCs w:val="1"/>
                <w:color w:val="auto"/>
              </w:rPr>
              <w:t>5%</w:t>
            </w:r>
          </w:p>
        </w:tc>
        <w:tc>
          <w:tcPr>
            <w:tcW w:w="0" w:type="dxa"/>
            <w:vAlign w:val="bottom"/>
          </w:tcPr>
          <w:p>
            <w:pPr>
              <w:spacing w:after="0"/>
              <w:rPr>
                <w:sz w:val="1"/>
                <w:szCs w:val="1"/>
                <w:color w:val="auto"/>
              </w:rPr>
            </w:pPr>
          </w:p>
        </w:tc>
      </w:tr>
      <w:tr>
        <w:trPr>
          <w:trHeight w:val="218"/>
        </w:trPr>
        <w:tc>
          <w:tcPr>
            <w:tcW w:w="3940" w:type="dxa"/>
            <w:vAlign w:val="bottom"/>
          </w:tcPr>
          <w:p>
            <w:pPr>
              <w:ind w:left="20"/>
              <w:spacing w:after="0"/>
              <w:rPr>
                <w:sz w:val="20"/>
                <w:szCs w:val="20"/>
                <w:color w:val="auto"/>
              </w:rPr>
            </w:pPr>
            <w:r>
              <w:rPr>
                <w:rFonts w:ascii="Arial" w:cs="Arial" w:eastAsia="Arial" w:hAnsi="Arial"/>
                <w:sz w:val="17"/>
                <w:szCs w:val="17"/>
                <w:color w:val="auto"/>
              </w:rPr>
              <w:t>Diluted earnings (loss) per common share</w:t>
            </w:r>
          </w:p>
        </w:tc>
        <w:tc>
          <w:tcPr>
            <w:tcW w:w="240" w:type="dxa"/>
            <w:vAlign w:val="bottom"/>
          </w:tcPr>
          <w:p>
            <w:pPr>
              <w:jc w:val="right"/>
              <w:ind w:right="55"/>
              <w:spacing w:after="0"/>
              <w:rPr>
                <w:sz w:val="20"/>
                <w:szCs w:val="20"/>
                <w:color w:val="auto"/>
              </w:rPr>
            </w:pPr>
            <w:r>
              <w:rPr>
                <w:rFonts w:ascii="Arial" w:cs="Arial" w:eastAsia="Arial" w:hAnsi="Arial"/>
                <w:sz w:val="17"/>
                <w:szCs w:val="17"/>
                <w:b w:val="1"/>
                <w:bCs w:val="1"/>
                <w:color w:val="auto"/>
                <w:w w:val="84"/>
              </w:rPr>
              <w:t>$</w:t>
            </w:r>
          </w:p>
        </w:tc>
        <w:tc>
          <w:tcPr>
            <w:tcW w:w="860" w:type="dxa"/>
            <w:vAlign w:val="bottom"/>
          </w:tcPr>
          <w:p>
            <w:pPr>
              <w:jc w:val="right"/>
              <w:ind w:right="35"/>
              <w:spacing w:after="0"/>
              <w:rPr>
                <w:sz w:val="20"/>
                <w:szCs w:val="20"/>
                <w:color w:val="auto"/>
              </w:rPr>
            </w:pPr>
            <w:r>
              <w:rPr>
                <w:rFonts w:ascii="Arial" w:cs="Arial" w:eastAsia="Arial" w:hAnsi="Arial"/>
                <w:sz w:val="17"/>
                <w:szCs w:val="17"/>
                <w:b w:val="1"/>
                <w:bCs w:val="1"/>
                <w:color w:val="auto"/>
              </w:rPr>
              <w:t>0.58</w:t>
            </w:r>
          </w:p>
        </w:tc>
        <w:tc>
          <w:tcPr>
            <w:tcW w:w="140" w:type="dxa"/>
            <w:vAlign w:val="bottom"/>
          </w:tcPr>
          <w:p>
            <w:pPr>
              <w:spacing w:after="0"/>
              <w:rPr>
                <w:sz w:val="18"/>
                <w:szCs w:val="18"/>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0.68</w:t>
            </w:r>
          </w:p>
        </w:tc>
        <w:tc>
          <w:tcPr>
            <w:tcW w:w="160" w:type="dxa"/>
            <w:vAlign w:val="bottom"/>
          </w:tcPr>
          <w:p>
            <w:pPr>
              <w:spacing w:after="0"/>
              <w:rPr>
                <w:sz w:val="18"/>
                <w:szCs w:val="18"/>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i w:val="1"/>
                <w:iCs w:val="1"/>
                <w:color w:val="auto"/>
              </w:rPr>
              <w:t>(15)%</w:t>
            </w:r>
          </w:p>
        </w:tc>
        <w:tc>
          <w:tcPr>
            <w:tcW w:w="16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b w:val="1"/>
                <w:bCs w:val="1"/>
                <w:color w:val="auto"/>
                <w:w w:val="84"/>
              </w:rPr>
              <w:t>$</w:t>
            </w:r>
          </w:p>
        </w:tc>
        <w:tc>
          <w:tcPr>
            <w:tcW w:w="840" w:type="dxa"/>
            <w:vAlign w:val="bottom"/>
          </w:tcPr>
          <w:p>
            <w:pPr>
              <w:jc w:val="right"/>
              <w:ind w:right="35"/>
              <w:spacing w:after="0"/>
              <w:rPr>
                <w:sz w:val="20"/>
                <w:szCs w:val="20"/>
                <w:color w:val="auto"/>
              </w:rPr>
            </w:pPr>
            <w:r>
              <w:rPr>
                <w:rFonts w:ascii="Arial" w:cs="Arial" w:eastAsia="Arial" w:hAnsi="Arial"/>
                <w:sz w:val="17"/>
                <w:szCs w:val="17"/>
                <w:b w:val="1"/>
                <w:bCs w:val="1"/>
                <w:color w:val="auto"/>
              </w:rPr>
              <w:t>1.41</w:t>
            </w:r>
          </w:p>
        </w:tc>
        <w:tc>
          <w:tcPr>
            <w:tcW w:w="16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ind w:right="35"/>
              <w:spacing w:after="0"/>
              <w:rPr>
                <w:sz w:val="20"/>
                <w:szCs w:val="20"/>
                <w:color w:val="auto"/>
              </w:rPr>
            </w:pPr>
            <w:r>
              <w:rPr>
                <w:rFonts w:ascii="Arial" w:cs="Arial" w:eastAsia="Arial" w:hAnsi="Arial"/>
                <w:sz w:val="17"/>
                <w:szCs w:val="17"/>
                <w:color w:val="auto"/>
              </w:rPr>
              <w:t>1.48</w:t>
            </w:r>
          </w:p>
        </w:tc>
        <w:tc>
          <w:tcPr>
            <w:tcW w:w="160" w:type="dxa"/>
            <w:vAlign w:val="bottom"/>
          </w:tcPr>
          <w:p>
            <w:pPr>
              <w:spacing w:after="0"/>
              <w:rPr>
                <w:sz w:val="18"/>
                <w:szCs w:val="18"/>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i w:val="1"/>
                <w:iCs w:val="1"/>
                <w:color w:val="auto"/>
              </w:rPr>
              <w:t>(5)%</w:t>
            </w:r>
          </w:p>
        </w:tc>
        <w:tc>
          <w:tcPr>
            <w:tcW w:w="0" w:type="dxa"/>
            <w:vAlign w:val="bottom"/>
          </w:tcPr>
          <w:p>
            <w:pPr>
              <w:spacing w:after="0"/>
              <w:rPr>
                <w:sz w:val="1"/>
                <w:szCs w:val="1"/>
                <w:color w:val="auto"/>
              </w:rPr>
            </w:pPr>
          </w:p>
        </w:tc>
      </w:tr>
      <w:tr>
        <w:trPr>
          <w:trHeight w:val="218"/>
        </w:trPr>
        <w:tc>
          <w:tcPr>
            <w:tcW w:w="3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Adjusted diluted earnings (loss) per common share</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w w:val="84"/>
              </w:rPr>
              <w:t>$</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0.58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0.67</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7"/>
                <w:szCs w:val="17"/>
                <w:i w:val="1"/>
                <w:iCs w:val="1"/>
                <w:color w:val="auto"/>
              </w:rPr>
              <w:t>(13)%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w w:val="84"/>
              </w:rPr>
              <w:t>$</w:t>
            </w: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1.41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1.50</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7"/>
                <w:szCs w:val="17"/>
                <w:i w:val="1"/>
                <w:iCs w:val="1"/>
                <w:color w:val="auto"/>
              </w:rPr>
              <w:t>(6)%</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00" w:hanging="298"/>
        <w:spacing w:after="0"/>
        <w:tabs>
          <w:tab w:leader="none" w:pos="300" w:val="left"/>
        </w:tabs>
        <w:numPr>
          <w:ilvl w:val="0"/>
          <w:numId w:val="3"/>
        </w:numPr>
        <w:rPr>
          <w:rFonts w:ascii="Arial" w:cs="Arial" w:eastAsia="Arial" w:hAnsi="Arial"/>
          <w:sz w:val="22"/>
          <w:szCs w:val="22"/>
          <w:color w:val="auto"/>
          <w:vertAlign w:val="superscript"/>
        </w:rPr>
      </w:pPr>
      <w:r>
        <w:rPr>
          <w:rFonts w:ascii="Arial" w:cs="Arial" w:eastAsia="Arial" w:hAnsi="Arial"/>
          <w:sz w:val="17"/>
          <w:szCs w:val="17"/>
          <w:color w:val="auto"/>
        </w:rPr>
        <w:t>Includes gallons and gallon equivalents converted as described in the table below.</w:t>
      </w:r>
    </w:p>
    <w:p>
      <w:pPr>
        <w:spacing w:after="0" w:line="189"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“As our team continues to deliver for our global customer base, evidenced by our solid results within the quarter, we remain focused on our strategy to accelerate growth by maximizing efficiencies in our conventional business, expanding our suite of energy-management solutions and increasing the availability of renewable and low-carbon fuels,” said Michael J. Kasbar, Chairman and Chief Executive Officer. “We remain focused on enhancing our performance and driving greater value for our shareholders, and are optimistic about the opportunities which lie ahead.”</w:t>
      </w:r>
    </w:p>
    <w:p>
      <w:pPr>
        <w:spacing w:after="0" w:line="153" w:lineRule="exact"/>
        <w:rPr>
          <w:sz w:val="20"/>
          <w:szCs w:val="20"/>
          <w:color w:val="auto"/>
        </w:rPr>
      </w:pPr>
    </w:p>
    <w:p>
      <w:pPr>
        <w:jc w:val="both"/>
        <w:spacing w:after="0" w:line="302" w:lineRule="auto"/>
        <w:rPr>
          <w:sz w:val="20"/>
          <w:szCs w:val="20"/>
          <w:color w:val="auto"/>
        </w:rPr>
      </w:pPr>
      <w:r>
        <w:rPr>
          <w:rFonts w:ascii="Arial" w:cs="Arial" w:eastAsia="Arial" w:hAnsi="Arial"/>
          <w:sz w:val="17"/>
          <w:szCs w:val="17"/>
          <w:color w:val="auto"/>
        </w:rPr>
        <w:t>“Despite marine’s decline from last year’s near record performance, we delivered solid results this quarter, benefiting, in part, from our emerging sustainability-related business activities which continue to grow,” said Ira M. Birns, Executive Vice President and Chief Financial Officer. “Despite higher fuel prices during the quarter, we also generated $80 million of operating cash flow, further strengthening our balance sheet.”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240"/>
          </w:cols>
          <w:pgMar w:left="320" w:top="127" w:right="339" w:bottom="1440" w:gutter="0" w:footer="0" w:header="0"/>
        </w:sectPr>
      </w:pPr>
    </w:p>
    <w:bookmarkStart w:id="4" w:name="page5"/>
    <w:bookmarkEnd w:id="4"/>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Third Quarter 2023 Segment Profitability</w:t>
      </w:r>
    </w:p>
    <w:p>
      <w:pPr>
        <w:spacing w:after="0" w:line="234" w:lineRule="exact"/>
        <w:rPr>
          <w:sz w:val="20"/>
          <w:szCs w:val="20"/>
          <w:color w:val="auto"/>
        </w:rPr>
      </w:pPr>
    </w:p>
    <w:p>
      <w:pPr>
        <w:jc w:val="both"/>
        <w:ind w:left="620" w:hanging="310"/>
        <w:spacing w:after="0" w:line="278"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7"/>
          <w:szCs w:val="17"/>
          <w:color w:val="auto"/>
        </w:rPr>
        <w:t>Aviation – Gross profit of $126 million, a decrease of 3% year-over-year. The decrease during the three months ended September 30, 2023 was primarily attributable to lower physical inventory-related profitability as well as a rationalization of lower-return business activity. These decreases were partially offset by higher margins driven by our focus on improving returns in a higher interest rate environment.</w:t>
      </w:r>
    </w:p>
    <w:p>
      <w:pPr>
        <w:spacing w:after="0" w:line="165" w:lineRule="exact"/>
        <w:rPr>
          <w:rFonts w:ascii="Arial" w:cs="Arial" w:eastAsia="Arial" w:hAnsi="Arial"/>
          <w:sz w:val="18"/>
          <w:szCs w:val="18"/>
          <w:color w:val="auto"/>
        </w:rPr>
      </w:pPr>
    </w:p>
    <w:p>
      <w:pPr>
        <w:jc w:val="both"/>
        <w:ind w:left="620" w:hanging="310"/>
        <w:spacing w:after="0" w:line="243" w:lineRule="auto"/>
        <w:tabs>
          <w:tab w:leader="none" w:pos="609" w:val="left"/>
        </w:tabs>
        <w:numPr>
          <w:ilvl w:val="0"/>
          <w:numId w:val="4"/>
        </w:numPr>
        <w:rPr>
          <w:rFonts w:ascii="Arial" w:cs="Arial" w:eastAsia="Arial" w:hAnsi="Arial"/>
          <w:sz w:val="19"/>
          <w:szCs w:val="19"/>
          <w:color w:val="auto"/>
        </w:rPr>
      </w:pPr>
      <w:r>
        <w:rPr>
          <w:rFonts w:ascii="Arial" w:cs="Arial" w:eastAsia="Arial" w:hAnsi="Arial"/>
          <w:sz w:val="19"/>
          <w:szCs w:val="19"/>
          <w:color w:val="auto"/>
        </w:rPr>
        <w:t>Land – Gross profit of $121 million, an increase of 3% year-over-year. The increase was primarily driven by continued growth in our sustainability-related offerings. This increase was partially offset by a decline in our core fuel business activity in North America, when compared to the third quarter of 2022.</w:t>
      </w:r>
    </w:p>
    <w:p>
      <w:pPr>
        <w:spacing w:after="0" w:line="181" w:lineRule="exact"/>
        <w:rPr>
          <w:rFonts w:ascii="Arial" w:cs="Arial" w:eastAsia="Arial" w:hAnsi="Arial"/>
          <w:sz w:val="19"/>
          <w:szCs w:val="19"/>
          <w:color w:val="auto"/>
        </w:rPr>
      </w:pPr>
    </w:p>
    <w:p>
      <w:pPr>
        <w:ind w:left="620" w:hanging="310"/>
        <w:spacing w:after="0" w:line="261" w:lineRule="auto"/>
        <w:tabs>
          <w:tab w:leader="none" w:pos="609" w:val="left"/>
        </w:tabs>
        <w:numPr>
          <w:ilvl w:val="0"/>
          <w:numId w:val="4"/>
        </w:numPr>
        <w:rPr>
          <w:rFonts w:ascii="Arial" w:cs="Arial" w:eastAsia="Arial" w:hAnsi="Arial"/>
          <w:sz w:val="19"/>
          <w:szCs w:val="19"/>
          <w:i w:val="1"/>
          <w:iCs w:val="1"/>
          <w:color w:val="auto"/>
        </w:rPr>
      </w:pPr>
      <w:r>
        <w:rPr>
          <w:rFonts w:ascii="Arial" w:cs="Arial" w:eastAsia="Arial" w:hAnsi="Arial"/>
          <w:sz w:val="19"/>
          <w:szCs w:val="19"/>
          <w:color w:val="auto"/>
        </w:rPr>
        <w:t>Marine – Gross profit of $35 million, a decrease of 54% year-over-year, principally due to the significant benefit from record bunker fuel prices and significant volatility in the third quarter of 2022.</w:t>
      </w:r>
    </w:p>
    <w:p>
      <w:pPr>
        <w:spacing w:after="0" w:line="379"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Year-to-Date 2023 Compared to 2022</w:t>
      </w:r>
    </w:p>
    <w:p>
      <w:pPr>
        <w:spacing w:after="0" w:line="208" w:lineRule="exact"/>
        <w:rPr>
          <w:sz w:val="20"/>
          <w:szCs w:val="20"/>
          <w:color w:val="auto"/>
        </w:rPr>
      </w:pPr>
    </w:p>
    <w:p>
      <w:pPr>
        <w:ind w:left="300"/>
        <w:spacing w:after="0"/>
        <w:rPr>
          <w:sz w:val="20"/>
          <w:szCs w:val="20"/>
          <w:color w:val="auto"/>
        </w:rPr>
      </w:pPr>
      <w:r>
        <w:rPr>
          <w:rFonts w:ascii="Arial" w:cs="Arial" w:eastAsia="Arial" w:hAnsi="Arial"/>
          <w:sz w:val="19"/>
          <w:szCs w:val="19"/>
          <w:u w:val="single" w:color="auto"/>
          <w:color w:val="auto"/>
        </w:rPr>
        <w:t>Highlights</w:t>
      </w:r>
    </w:p>
    <w:p>
      <w:pPr>
        <w:spacing w:after="0" w:line="217" w:lineRule="exact"/>
        <w:rPr>
          <w:sz w:val="20"/>
          <w:szCs w:val="20"/>
          <w:color w:val="auto"/>
        </w:rPr>
      </w:pPr>
    </w:p>
    <w:p>
      <w:pPr>
        <w:ind w:left="600" w:hanging="290"/>
        <w:spacing w:after="0"/>
        <w:tabs>
          <w:tab w:leader="none" w:pos="600" w:val="left"/>
        </w:tabs>
        <w:numPr>
          <w:ilvl w:val="0"/>
          <w:numId w:val="5"/>
        </w:numPr>
        <w:rPr>
          <w:rFonts w:ascii="Arial" w:cs="Arial" w:eastAsia="Arial" w:hAnsi="Arial"/>
          <w:sz w:val="19"/>
          <w:szCs w:val="19"/>
          <w:color w:val="auto"/>
        </w:rPr>
      </w:pPr>
      <w:r>
        <w:rPr>
          <w:rFonts w:ascii="Arial" w:cs="Arial" w:eastAsia="Arial" w:hAnsi="Arial"/>
          <w:sz w:val="19"/>
          <w:szCs w:val="19"/>
          <w:color w:val="auto"/>
        </w:rPr>
        <w:t>Gross profit of $825.8 million, an increase of 2% year-over-year.</w:t>
      </w:r>
    </w:p>
    <w:p>
      <w:pPr>
        <w:spacing w:after="0" w:line="20" w:lineRule="exact"/>
        <w:rPr>
          <w:rFonts w:ascii="Arial" w:cs="Arial" w:eastAsia="Arial" w:hAnsi="Arial"/>
          <w:sz w:val="19"/>
          <w:szCs w:val="19"/>
          <w:color w:val="auto"/>
        </w:rPr>
      </w:pPr>
    </w:p>
    <w:p>
      <w:pPr>
        <w:ind w:left="600" w:hanging="290"/>
        <w:spacing w:after="0"/>
        <w:tabs>
          <w:tab w:leader="none" w:pos="600" w:val="left"/>
        </w:tabs>
        <w:numPr>
          <w:ilvl w:val="0"/>
          <w:numId w:val="5"/>
        </w:numPr>
        <w:rPr>
          <w:rFonts w:ascii="Arial" w:cs="Arial" w:eastAsia="Arial" w:hAnsi="Arial"/>
          <w:sz w:val="19"/>
          <w:szCs w:val="19"/>
          <w:color w:val="auto"/>
        </w:rPr>
      </w:pPr>
      <w:r>
        <w:rPr>
          <w:rFonts w:ascii="Arial" w:cs="Arial" w:eastAsia="Arial" w:hAnsi="Arial"/>
          <w:sz w:val="19"/>
          <w:szCs w:val="19"/>
          <w:color w:val="auto"/>
        </w:rPr>
        <w:t>Net income of $87.7 million, a decrease of 6% year-over-year.</w:t>
      </w:r>
    </w:p>
    <w:p>
      <w:pPr>
        <w:spacing w:after="0" w:line="6" w:lineRule="exact"/>
        <w:rPr>
          <w:rFonts w:ascii="Arial" w:cs="Arial" w:eastAsia="Arial" w:hAnsi="Arial"/>
          <w:sz w:val="19"/>
          <w:szCs w:val="19"/>
          <w:color w:val="auto"/>
        </w:rPr>
      </w:pPr>
    </w:p>
    <w:p>
      <w:pPr>
        <w:ind w:left="600" w:hanging="290"/>
        <w:spacing w:after="0"/>
        <w:tabs>
          <w:tab w:leader="none" w:pos="600" w:val="left"/>
        </w:tabs>
        <w:numPr>
          <w:ilvl w:val="0"/>
          <w:numId w:val="5"/>
        </w:numPr>
        <w:rPr>
          <w:rFonts w:ascii="Arial" w:cs="Arial" w:eastAsia="Arial" w:hAnsi="Arial"/>
          <w:sz w:val="19"/>
          <w:szCs w:val="19"/>
          <w:color w:val="auto"/>
        </w:rPr>
      </w:pPr>
      <w:r>
        <w:rPr>
          <w:rFonts w:ascii="Arial" w:cs="Arial" w:eastAsia="Arial" w:hAnsi="Arial"/>
          <w:sz w:val="19"/>
          <w:szCs w:val="19"/>
          <w:color w:val="auto"/>
        </w:rPr>
        <w:t>Adjusted EBITDA of $286.7 million, an increase of 5% year-over-year.</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9"/>
          <w:szCs w:val="19"/>
          <w:u w:val="single" w:color="auto"/>
          <w:color w:val="auto"/>
        </w:rPr>
        <w:t>Segment Profitability</w:t>
      </w:r>
    </w:p>
    <w:p>
      <w:pPr>
        <w:spacing w:after="0" w:line="204" w:lineRule="exact"/>
        <w:rPr>
          <w:sz w:val="20"/>
          <w:szCs w:val="20"/>
          <w:color w:val="auto"/>
        </w:rPr>
      </w:pPr>
    </w:p>
    <w:p>
      <w:pPr>
        <w:ind w:left="600" w:hanging="290"/>
        <w:spacing w:after="0"/>
        <w:tabs>
          <w:tab w:leader="none" w:pos="600" w:val="left"/>
        </w:tabs>
        <w:numPr>
          <w:ilvl w:val="0"/>
          <w:numId w:val="6"/>
        </w:numPr>
        <w:rPr>
          <w:rFonts w:ascii="Arial" w:cs="Arial" w:eastAsia="Arial" w:hAnsi="Arial"/>
          <w:sz w:val="19"/>
          <w:szCs w:val="19"/>
          <w:i w:val="1"/>
          <w:iCs w:val="1"/>
          <w:color w:val="auto"/>
        </w:rPr>
      </w:pPr>
      <w:r>
        <w:rPr>
          <w:rFonts w:ascii="Arial" w:cs="Arial" w:eastAsia="Arial" w:hAnsi="Arial"/>
          <w:sz w:val="19"/>
          <w:szCs w:val="19"/>
          <w:color w:val="auto"/>
        </w:rPr>
        <w:t>Aviation – Gross profit of $354.4 million, an increase of 44% year-over-year.</w:t>
      </w:r>
    </w:p>
    <w:p>
      <w:pPr>
        <w:spacing w:after="0" w:line="20" w:lineRule="exact"/>
        <w:rPr>
          <w:rFonts w:ascii="Arial" w:cs="Arial" w:eastAsia="Arial" w:hAnsi="Arial"/>
          <w:sz w:val="19"/>
          <w:szCs w:val="19"/>
          <w:i w:val="1"/>
          <w:iCs w:val="1"/>
          <w:color w:val="auto"/>
        </w:rPr>
      </w:pPr>
    </w:p>
    <w:p>
      <w:pPr>
        <w:ind w:left="600" w:hanging="290"/>
        <w:spacing w:after="0"/>
        <w:tabs>
          <w:tab w:leader="none" w:pos="600" w:val="left"/>
        </w:tabs>
        <w:numPr>
          <w:ilvl w:val="0"/>
          <w:numId w:val="6"/>
        </w:numPr>
        <w:rPr>
          <w:rFonts w:ascii="Arial" w:cs="Arial" w:eastAsia="Arial" w:hAnsi="Arial"/>
          <w:sz w:val="19"/>
          <w:szCs w:val="19"/>
          <w:i w:val="1"/>
          <w:iCs w:val="1"/>
          <w:color w:val="auto"/>
        </w:rPr>
      </w:pPr>
      <w:r>
        <w:rPr>
          <w:rFonts w:ascii="Arial" w:cs="Arial" w:eastAsia="Arial" w:hAnsi="Arial"/>
          <w:sz w:val="19"/>
          <w:szCs w:val="19"/>
          <w:color w:val="auto"/>
        </w:rPr>
        <w:t>Land – Gross profit of $342.8 million, a decrease of 5% year-over-year.</w:t>
      </w:r>
    </w:p>
    <w:p>
      <w:pPr>
        <w:spacing w:after="0" w:line="12" w:lineRule="exact"/>
        <w:rPr>
          <w:rFonts w:ascii="Arial" w:cs="Arial" w:eastAsia="Arial" w:hAnsi="Arial"/>
          <w:sz w:val="19"/>
          <w:szCs w:val="19"/>
          <w:i w:val="1"/>
          <w:iCs w:val="1"/>
          <w:color w:val="auto"/>
        </w:rPr>
      </w:pPr>
    </w:p>
    <w:p>
      <w:pPr>
        <w:ind w:left="600" w:hanging="290"/>
        <w:spacing w:after="0"/>
        <w:tabs>
          <w:tab w:leader="none" w:pos="600" w:val="left"/>
        </w:tabs>
        <w:numPr>
          <w:ilvl w:val="0"/>
          <w:numId w:val="6"/>
        </w:numPr>
        <w:rPr>
          <w:rFonts w:ascii="Arial" w:cs="Arial" w:eastAsia="Arial" w:hAnsi="Arial"/>
          <w:sz w:val="19"/>
          <w:szCs w:val="19"/>
          <w:i w:val="1"/>
          <w:iCs w:val="1"/>
          <w:color w:val="auto"/>
        </w:rPr>
      </w:pPr>
      <w:r>
        <w:rPr>
          <w:rFonts w:ascii="Arial" w:cs="Arial" w:eastAsia="Arial" w:hAnsi="Arial"/>
          <w:sz w:val="19"/>
          <w:szCs w:val="19"/>
          <w:color w:val="auto"/>
        </w:rPr>
        <w:t>Marine – Gross profit of $128.6 million, a decrease of 36% year-over-year.</w:t>
      </w:r>
    </w:p>
    <w:p>
      <w:pPr>
        <w:spacing w:after="0" w:line="39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Earnings Conference Call</w:t>
      </w:r>
    </w:p>
    <w:p>
      <w:pPr>
        <w:spacing w:after="0" w:line="221"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An investor conference call will be held today, October 26, 2023, at 5:00 PM Eastern Time to discuss third quarter results. Participants can access the live webcast or participate by phone by visiting the company’s website at https://ir.worldkinect.com. To join the conference call by phone, participants must pre-register and will then receive dial-in information and a PIN enabling access to the call. A replay of the webcast will be available and can be accessed in the same manner as the live webcast on the Company’s website through November 8, 2023.</w:t>
      </w:r>
    </w:p>
    <w:p>
      <w:pPr>
        <w:spacing w:after="0" w:line="357"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About World Kinect Corporation</w:t>
      </w:r>
    </w:p>
    <w:p>
      <w:pPr>
        <w:spacing w:after="0" w:line="221"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Headquartered in Miami, Florida, World Kinect Corporation (NYSE: WKC) is a leading global energy management company, offering a broad suite of solutions across the energy product spectrum. In addition to our core energy and fuel offerings to customers in the transportation sector, we provide advisory services, sustainability and renewable energy solutions, as well as supply fulfillment for natural gas and power. We continue to focus on advancing the energy transition to lower carbon alternatives through expanding our portfolio of energy solutions and providing customers with greater access to sustainably sourced energy.</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For more information, visit https://corp.worldkinect.com.</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Contacts:</w:t>
      </w: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color w:val="auto"/>
        </w:rPr>
        <w:t>Ira M. Birns, Executive Vice President &amp; Chief Financial Officer</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Elsa Ballard, Vice President of Investor Relations</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color w:val="auto"/>
        </w:rPr>
        <w:t>investor@worldkinect.com</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Definitions and Non-GAAP Financial Measures</w:t>
      </w:r>
    </w:p>
    <w:p>
      <w:pPr>
        <w:spacing w:after="0" w:line="221" w:lineRule="exact"/>
        <w:rPr>
          <w:sz w:val="20"/>
          <w:szCs w:val="20"/>
          <w:color w:val="auto"/>
        </w:rPr>
      </w:pPr>
    </w:p>
    <w:p>
      <w:pPr>
        <w:spacing w:after="0" w:line="276" w:lineRule="auto"/>
        <w:rPr>
          <w:sz w:val="20"/>
          <w:szCs w:val="20"/>
          <w:color w:val="auto"/>
        </w:rPr>
      </w:pPr>
      <w:r>
        <w:rPr>
          <w:rFonts w:ascii="Arial" w:cs="Arial" w:eastAsia="Arial" w:hAnsi="Arial"/>
          <w:sz w:val="19"/>
          <w:szCs w:val="19"/>
          <w:color w:val="auto"/>
        </w:rPr>
        <w:t>This press release makes reference to "Net income." Net income means Net income attributable to World Kinect as presented in the Statements of Income and Comprehensive Income.</w:t>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This press release contains non-GAAP financial measures (collectively, the "Non-GAAP Measures"), including the following:</w:t>
      </w:r>
    </w:p>
    <w:p>
      <w:pPr>
        <w:spacing w:after="0" w:line="114" w:lineRule="exact"/>
        <w:rPr>
          <w:sz w:val="20"/>
          <w:szCs w:val="20"/>
          <w:color w:val="auto"/>
        </w:rPr>
      </w:pPr>
    </w:p>
    <w:p>
      <w:pPr>
        <w:ind w:left="600" w:hanging="290"/>
        <w:spacing w:after="0"/>
        <w:tabs>
          <w:tab w:leader="none" w:pos="600" w:val="left"/>
        </w:tabs>
        <w:numPr>
          <w:ilvl w:val="0"/>
          <w:numId w:val="7"/>
        </w:numPr>
        <w:rPr>
          <w:rFonts w:ascii="Arial" w:cs="Arial" w:eastAsia="Arial" w:hAnsi="Arial"/>
          <w:sz w:val="19"/>
          <w:szCs w:val="19"/>
          <w:color w:val="auto"/>
        </w:rPr>
      </w:pPr>
      <w:r>
        <w:rPr>
          <w:rFonts w:ascii="Arial" w:cs="Arial" w:eastAsia="Arial" w:hAnsi="Arial"/>
          <w:sz w:val="19"/>
          <w:szCs w:val="19"/>
          <w:color w:val="auto"/>
        </w:rPr>
        <w:t>adjusted income from operations;</w:t>
      </w:r>
    </w:p>
    <w:p>
      <w:pPr>
        <w:spacing w:after="0" w:line="15" w:lineRule="exact"/>
        <w:rPr>
          <w:rFonts w:ascii="Arial" w:cs="Arial" w:eastAsia="Arial" w:hAnsi="Arial"/>
          <w:sz w:val="19"/>
          <w:szCs w:val="19"/>
          <w:color w:val="auto"/>
        </w:rPr>
      </w:pPr>
    </w:p>
    <w:p>
      <w:pPr>
        <w:ind w:left="600" w:hanging="290"/>
        <w:spacing w:after="0"/>
        <w:tabs>
          <w:tab w:leader="none" w:pos="600" w:val="left"/>
        </w:tabs>
        <w:numPr>
          <w:ilvl w:val="0"/>
          <w:numId w:val="7"/>
        </w:numPr>
        <w:rPr>
          <w:rFonts w:ascii="Arial" w:cs="Arial" w:eastAsia="Arial" w:hAnsi="Arial"/>
          <w:sz w:val="19"/>
          <w:szCs w:val="19"/>
          <w:color w:val="auto"/>
        </w:rPr>
      </w:pPr>
      <w:r>
        <w:rPr>
          <w:rFonts w:ascii="Arial" w:cs="Arial" w:eastAsia="Arial" w:hAnsi="Arial"/>
          <w:sz w:val="19"/>
          <w:szCs w:val="19"/>
          <w:color w:val="auto"/>
        </w:rPr>
        <w:t>adjusted income from operations as a percentage of gross profit;</w:t>
      </w:r>
    </w:p>
    <w:p>
      <w:pPr>
        <w:spacing w:after="0" w:line="4" w:lineRule="exact"/>
        <w:rPr>
          <w:rFonts w:ascii="Arial" w:cs="Arial" w:eastAsia="Arial" w:hAnsi="Arial"/>
          <w:sz w:val="19"/>
          <w:szCs w:val="19"/>
          <w:color w:val="auto"/>
        </w:rPr>
      </w:pPr>
    </w:p>
    <w:p>
      <w:pPr>
        <w:ind w:left="600" w:hanging="290"/>
        <w:spacing w:after="0"/>
        <w:tabs>
          <w:tab w:leader="none" w:pos="600" w:val="left"/>
        </w:tabs>
        <w:numPr>
          <w:ilvl w:val="0"/>
          <w:numId w:val="7"/>
        </w:numPr>
        <w:rPr>
          <w:rFonts w:ascii="Arial" w:cs="Arial" w:eastAsia="Arial" w:hAnsi="Arial"/>
          <w:sz w:val="19"/>
          <w:szCs w:val="19"/>
          <w:color w:val="auto"/>
        </w:rPr>
      </w:pPr>
      <w:r>
        <w:rPr>
          <w:rFonts w:ascii="Arial" w:cs="Arial" w:eastAsia="Arial" w:hAnsi="Arial"/>
          <w:sz w:val="19"/>
          <w:szCs w:val="19"/>
          <w:color w:val="auto"/>
        </w:rPr>
        <w:t>adjusted earnings before interest, taxes, depreciation and amortization ("EBITDA");</w:t>
      </w:r>
    </w:p>
    <w:p>
      <w:pPr>
        <w:spacing w:after="0" w:line="12" w:lineRule="exact"/>
        <w:rPr>
          <w:rFonts w:ascii="Arial" w:cs="Arial" w:eastAsia="Arial" w:hAnsi="Arial"/>
          <w:sz w:val="19"/>
          <w:szCs w:val="19"/>
          <w:color w:val="auto"/>
        </w:rPr>
      </w:pPr>
    </w:p>
    <w:p>
      <w:pPr>
        <w:ind w:left="600" w:hanging="290"/>
        <w:spacing w:after="0"/>
        <w:tabs>
          <w:tab w:leader="none" w:pos="600" w:val="left"/>
        </w:tabs>
        <w:numPr>
          <w:ilvl w:val="0"/>
          <w:numId w:val="7"/>
        </w:numPr>
        <w:rPr>
          <w:rFonts w:ascii="Arial" w:cs="Arial" w:eastAsia="Arial" w:hAnsi="Arial"/>
          <w:sz w:val="19"/>
          <w:szCs w:val="19"/>
          <w:color w:val="auto"/>
        </w:rPr>
      </w:pPr>
      <w:r>
        <w:rPr>
          <w:rFonts w:ascii="Arial" w:cs="Arial" w:eastAsia="Arial" w:hAnsi="Arial"/>
          <w:sz w:val="19"/>
          <w:szCs w:val="19"/>
          <w:color w:val="auto"/>
        </w:rPr>
        <w:t>adjusted net income attributable to World Kinect; and</w:t>
      </w:r>
    </w:p>
    <w:p>
      <w:pPr>
        <w:spacing w:after="0" w:line="6" w:lineRule="exact"/>
        <w:rPr>
          <w:rFonts w:ascii="Arial" w:cs="Arial" w:eastAsia="Arial" w:hAnsi="Arial"/>
          <w:sz w:val="19"/>
          <w:szCs w:val="19"/>
          <w:color w:val="auto"/>
        </w:rPr>
      </w:pPr>
    </w:p>
    <w:p>
      <w:pPr>
        <w:ind w:left="600" w:hanging="290"/>
        <w:spacing w:after="0"/>
        <w:tabs>
          <w:tab w:leader="none" w:pos="600" w:val="left"/>
        </w:tabs>
        <w:numPr>
          <w:ilvl w:val="0"/>
          <w:numId w:val="7"/>
        </w:numPr>
        <w:rPr>
          <w:rFonts w:ascii="Arial" w:cs="Arial" w:eastAsia="Arial" w:hAnsi="Arial"/>
          <w:sz w:val="19"/>
          <w:szCs w:val="19"/>
          <w:color w:val="auto"/>
        </w:rPr>
      </w:pPr>
      <w:r>
        <w:rPr>
          <w:rFonts w:ascii="Arial" w:cs="Arial" w:eastAsia="Arial" w:hAnsi="Arial"/>
          <w:sz w:val="19"/>
          <w:szCs w:val="19"/>
          <w:color w:val="auto"/>
        </w:rPr>
        <w:t>adjusted diluted earnings per common share.</w:t>
      </w:r>
    </w:p>
    <w:p>
      <w:pPr>
        <w:spacing w:after="0" w:line="9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Non-GAAP Measures exclude acquisition and divestiture related expenses, restructuring charges, impairments, gains or losses on the extinguishment of debt, gains or losses on sale of businesses, integration costs associated with our acquisitions, and non-operating legal settlements primarily because we do not believe they are reflective of our core operating results.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We believe that the Non-GAAP Measures, when considered in conjunction with our financial information prepared in accordance with GAAP, are useful to investors to further aid in evaluating the ongoing financial performance of the Company and to provide greater transparency as supplemental information to our GAAP results.</w:t>
      </w:r>
    </w:p>
    <w:p>
      <w:pPr>
        <w:spacing w:after="0" w:line="66" w:lineRule="exact"/>
        <w:rPr>
          <w:sz w:val="20"/>
          <w:szCs w:val="20"/>
          <w:color w:val="auto"/>
        </w:rPr>
      </w:pPr>
    </w:p>
    <w:p>
      <w:pPr>
        <w:jc w:val="both"/>
        <w:spacing w:after="0" w:line="336" w:lineRule="auto"/>
        <w:rPr>
          <w:sz w:val="20"/>
          <w:szCs w:val="20"/>
          <w:color w:val="auto"/>
        </w:rPr>
      </w:pPr>
      <w:r>
        <w:rPr>
          <w:rFonts w:ascii="Arial" w:cs="Arial" w:eastAsia="Arial" w:hAnsi="Arial"/>
          <w:sz w:val="17"/>
          <w:szCs w:val="17"/>
          <w:color w:val="auto"/>
        </w:rPr>
        <w:t>Non-GAAP financial measures should not be considered in isolation from, or as a substitute for, financial information prepared in accordance with GAAP. In addition, our presentation of the Non-GAAP Measures may not be comparable to the presentation of such metrics by other companies.</w:t>
      </w:r>
    </w:p>
    <w:p>
      <w:pPr>
        <w:spacing w:after="0" w:line="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Adjusted net income attributable to World Kinect is defined as net income (loss) attributable to World Kinect excluding the impact of acquisition and divestiture related expenses, restructuring charges, impairments, gains or losses on the extinguishment of debt, gains or losses on sale of businesses, integration costs, and non-operating legal settlements.</w:t>
      </w:r>
    </w:p>
    <w:p>
      <w:pPr>
        <w:spacing w:after="0" w:line="60"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Adjusted diluted earnings per common share is computed by dividing adjusted net income attributable to World Kinect and available to common shareholders by the sum of the weighted average number of shares of common stock, stock units, restricted stock entitled to dividends not subject to forfeiture and vested restricted stock units outstanding during the period and the number of additional shares of common stock that would have been outstanding if our outstanding potentially dilutive securities had been issued.</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Adjusted EBITDA is defined as net income (loss) excluding the impact of interest, income taxes, and depreciation and amortization, in addition to acquisition and divestiture related expenses, restructuring charges, impairments, gains or losses on sale of businesses, integration costs, and non-operating legal settlements.</w:t>
      </w:r>
    </w:p>
    <w:p>
      <w:pPr>
        <w:spacing w:after="0" w:line="66"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Adjusted income from operations is defined as Income from operations excluding the impact of acquisition and divestiture related expenses, restructuring charges, impairments, and integration costs. Adjusted income from operations as a percentage of gross profit is computed by dividing adjusted income from operations by gross profit.</w:t>
      </w:r>
    </w:p>
    <w:p>
      <w:pPr>
        <w:spacing w:after="0" w:line="60"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Investors are encouraged to review the reconciliation of these Non-GAAP Measures to their most directly comparable GAAP financial measures in this press release and on our website.</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Information Relating to Forward-Looking Statements</w:t>
      </w:r>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This release includes forward-looking statements within the meaning of the Private Securities Litigation Reform Act of 1995. The forward-looking statements include, without limitation, any statement that may predict, forecast, indicate or imply future results, performance or achievements, and may contain the words "believe," "anticipate," "expect," "estimate," "project," "could," "would," "will," "will be," "will continue," "plan," or words or phrases of similar meaning. Specifically, this release includes forward-looking statements regarding expectations for our future plans and performance, and the expansion of certain of our products and services, including those relating to sustainability. Our forward-looking statements are qualified in their entirety by cautionary statements and risk factor disclosures contained in the Company’s Securities and Exchange Commission ("SEC") filings, including the Company’s most recent Annual Report on Form 10-K filed with the SEC. Actual results may differ materially from any forward-looking statements due to risks and uncertainties, including, but not limited to: customer and counterparty creditworthiness and our ability to collect accounts receivable and settle derivative contracts; sudden changes in the market price of fuel or extremely high or low fuel prices that continue for an extended period of time; adverse conditions in the industries in which our customers operate; our inability to effectively mitigate certain financial risks and other risks associated with derivatives and our physical fuel products; relationships with our employees and potential labor disputes associated with employees covered by collective bargaining agreements; our failure to comply with restrictions and covenants governing our outstanding indebtedness; the impact of cyber and other information security related incidents; changes in the political, economic or regulatory environment generally and in the markets in which we operate, such as the current conflicts in Eastern Europe and the Middle East; greenhouse gas reduction programs and other environmental and climate change legislation adopted by governments around the world, including cap and trade regimes, carbon taxes, increased efficiency standards and mandates for renewable energy, each of which could increase our operating and compliance costs as well as adversely impact our sales of fuel products; changes in credit terms extended to us from our suppliers; non-performance of suppliers on their sale commitments and customers on their purchase commitments; non-performance of third-party service providers; our ability to effectively integrate and derive benefits from acquired businesses; our ability to meet financial forecasts associated with our operating plan; lower than expected cash flows and revenues, which could impair our ability to realize the value of recorded intangible assets and goodwill; the availability of cash and sufficient liquidity to fund our working capital and strategic investment needs; currency exchange fluctuations; inflationary pressures and their impact on our customers or the global economy, including sudden or significant increases in interest rates or a global recession; our ability to effectively leverage technology and operating systems and realize the anticipated benefits; failure to meet fuel and other product specifications agreed with our customers; environmental and other risks associated with the storage, transportation and delivery of petroleum products; reputational harm from adverse publicity arising out of spills, environmental contamination or public perception about the impacts on climate change by us or other companies in our industry; risks associated with operating in high-risk locations, including supply disruptions, border closures and other logistical difficulties that arise when working in these areas; uninsured or underinsured losses; seasonal variability that adversely affects our revenues and operating results, as well as the impact of natural disasters, such as earthquakes, hurricanes and wildfires; declines in the value and liquidity of cash equivalents and investments; our ability to retain and attract senior management and other key employees; changes in U.S. or foreign tax laws, interpretations of such laws, changes in the mix of taxable income among different tax jurisdictions, or adverse results of tax audits, assessments, or disputes; our failure to generate sufficient future taxable income in jurisdictions with material deferred tax assets and net operating loss carryforwards; the impact of the U.K.'s exit from the European Union, known as Brexit, on our business, operations and financial condition; our ability to comply with U.S. and international laws and regulations, including those related to anti-corruption, economic sanction programs and environmental matters; the outcome of litigation and other proceedings, including the costs associated with defending any actions; and other risks detailed from time to time in our SEC filings. 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changes in expectations, future events, or otherwise, except as required by law.</w:t>
      </w:r>
    </w:p>
    <w:p>
      <w:pPr>
        <w:spacing w:after="0" w:line="200" w:lineRule="exact"/>
        <w:rPr>
          <w:sz w:val="20"/>
          <w:szCs w:val="20"/>
          <w:color w:val="auto"/>
        </w:rPr>
      </w:pPr>
    </w:p>
    <w:p>
      <w:pPr>
        <w:spacing w:after="0" w:line="327" w:lineRule="exact"/>
        <w:rPr>
          <w:sz w:val="20"/>
          <w:szCs w:val="20"/>
          <w:color w:val="auto"/>
        </w:rPr>
      </w:pPr>
    </w:p>
    <w:p>
      <w:pPr>
        <w:jc w:val="center"/>
        <w:spacing w:after="0" w:line="430" w:lineRule="auto"/>
        <w:rPr>
          <w:sz w:val="20"/>
          <w:szCs w:val="20"/>
          <w:color w:val="auto"/>
        </w:rPr>
      </w:pPr>
      <w:r>
        <w:rPr>
          <w:rFonts w:ascii="Arial" w:cs="Arial" w:eastAsia="Arial" w:hAnsi="Arial"/>
          <w:sz w:val="19"/>
          <w:szCs w:val="19"/>
          <w:color w:val="auto"/>
        </w:rPr>
        <w:t>-- Some amounts in this press release may not add due to rounding. All percentages have been calculated using unrounded amounts -- 4</w:t>
      </w:r>
    </w:p>
    <w:p>
      <w:pPr>
        <w:sectPr>
          <w:pgSz w:w="11900" w:h="16838" w:orient="portrait"/>
          <w:cols w:equalWidth="0" w:num="1">
            <w:col w:w="11240"/>
          </w:cols>
          <w:pgMar w:left="320" w:top="144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WORLD KINECT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80" w:type="dxa"/>
            <w:vAlign w:val="bottom"/>
          </w:tcPr>
          <w:p>
            <w:pPr>
              <w:ind w:left="4020"/>
              <w:spacing w:after="0"/>
              <w:rPr>
                <w:sz w:val="20"/>
                <w:szCs w:val="20"/>
                <w:color w:val="auto"/>
              </w:rPr>
            </w:pPr>
            <w:r>
              <w:rPr>
                <w:rFonts w:ascii="Arial" w:cs="Arial" w:eastAsia="Arial" w:hAnsi="Arial"/>
                <w:sz w:val="17"/>
                <w:szCs w:val="17"/>
                <w:color w:val="auto"/>
                <w:w w:val="94"/>
              </w:rPr>
              <w:t>(Unaudited - In millions, except per share data)</w:t>
            </w: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7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gridSpan w:val="2"/>
          </w:tcPr>
          <w:p>
            <w:pPr>
              <w:ind w:left="60"/>
              <w:spacing w:after="0"/>
              <w:rPr>
                <w:sz w:val="20"/>
                <w:szCs w:val="20"/>
                <w:color w:val="auto"/>
              </w:rPr>
            </w:pPr>
            <w:r>
              <w:rPr>
                <w:rFonts w:ascii="Arial" w:cs="Arial" w:eastAsia="Arial" w:hAnsi="Arial"/>
                <w:sz w:val="17"/>
                <w:szCs w:val="17"/>
                <w:b w:val="1"/>
                <w:bCs w:val="1"/>
                <w:color w:val="auto"/>
              </w:rPr>
              <w:t>September 30, 2023</w:t>
            </w:r>
          </w:p>
        </w:tc>
        <w:tc>
          <w:tcPr>
            <w:tcW w:w="160" w:type="dxa"/>
            <w:vAlign w:val="bottom"/>
          </w:tcPr>
          <w:p>
            <w:pPr>
              <w:spacing w:after="0"/>
              <w:rPr>
                <w:sz w:val="24"/>
                <w:szCs w:val="24"/>
                <w:color w:val="auto"/>
              </w:rPr>
            </w:pPr>
          </w:p>
        </w:tc>
        <w:tc>
          <w:tcPr>
            <w:tcW w:w="1700" w:type="dxa"/>
            <w:vAlign w:val="bottom"/>
          </w:tcPr>
          <w:p>
            <w:pPr>
              <w:jc w:val="right"/>
              <w:ind w:right="155"/>
              <w:spacing w:after="0"/>
              <w:rPr>
                <w:sz w:val="20"/>
                <w:szCs w:val="20"/>
                <w:color w:val="auto"/>
              </w:rPr>
            </w:pPr>
            <w:r>
              <w:rPr>
                <w:rFonts w:ascii="Arial" w:cs="Arial" w:eastAsia="Arial" w:hAnsi="Arial"/>
                <w:sz w:val="17"/>
                <w:szCs w:val="17"/>
                <w:b w:val="1"/>
                <w:bCs w:val="1"/>
                <w:color w:val="auto"/>
                <w:w w:val="94"/>
              </w:rPr>
              <w:t>December 31, 2022</w:t>
            </w:r>
          </w:p>
        </w:tc>
      </w:tr>
      <w:tr>
        <w:trPr>
          <w:trHeight w:val="211"/>
        </w:trPr>
        <w:tc>
          <w:tcPr>
            <w:tcW w:w="7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r>
      <w:tr>
        <w:trPr>
          <w:trHeight w:val="217"/>
        </w:trPr>
        <w:tc>
          <w:tcPr>
            <w:tcW w:w="738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8"/>
        </w:trPr>
        <w:tc>
          <w:tcPr>
            <w:tcW w:w="7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298.4</w:t>
            </w:r>
          </w:p>
        </w:tc>
      </w:tr>
      <w:tr>
        <w:trPr>
          <w:trHeight w:val="167"/>
        </w:trPr>
        <w:tc>
          <w:tcPr>
            <w:tcW w:w="7380" w:type="dxa"/>
            <w:vAlign w:val="bottom"/>
          </w:tcPr>
          <w:p>
            <w:pPr>
              <w:ind w:left="140"/>
              <w:spacing w:after="0" w:line="167" w:lineRule="exact"/>
              <w:rPr>
                <w:sz w:val="20"/>
                <w:szCs w:val="20"/>
                <w:color w:val="auto"/>
              </w:rPr>
            </w:pPr>
            <w:r>
              <w:rPr>
                <w:rFonts w:ascii="Arial" w:cs="Arial" w:eastAsia="Arial" w:hAnsi="Arial"/>
                <w:sz w:val="17"/>
                <w:szCs w:val="17"/>
                <w:color w:val="auto"/>
              </w:rPr>
              <w:t>Accounts receivable, net of allowance for credit losses of $17.0 million and $14.1 million as of</w:t>
            </w: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230"/>
        </w:trPr>
        <w:tc>
          <w:tcPr>
            <w:tcW w:w="7380" w:type="dxa"/>
            <w:vAlign w:val="bottom"/>
          </w:tcPr>
          <w:p>
            <w:pPr>
              <w:ind w:left="140"/>
              <w:spacing w:after="0"/>
              <w:rPr>
                <w:sz w:val="20"/>
                <w:szCs w:val="20"/>
                <w:color w:val="auto"/>
              </w:rPr>
            </w:pPr>
            <w:r>
              <w:rPr>
                <w:rFonts w:ascii="Arial" w:cs="Arial" w:eastAsia="Arial" w:hAnsi="Arial"/>
                <w:sz w:val="17"/>
                <w:szCs w:val="17"/>
                <w:color w:val="auto"/>
              </w:rPr>
              <w:t>September 30, 2023 and 2022, respectively</w:t>
            </w: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2,882.2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3,294.1</w:t>
            </w:r>
          </w:p>
        </w:tc>
      </w:tr>
      <w:tr>
        <w:trPr>
          <w:trHeight w:val="218"/>
        </w:trPr>
        <w:tc>
          <w:tcPr>
            <w:tcW w:w="7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Inventories</w:t>
            </w: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654.2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779.9</w:t>
            </w:r>
          </w:p>
        </w:tc>
      </w:tr>
      <w:tr>
        <w:trPr>
          <w:trHeight w:val="217"/>
        </w:trPr>
        <w:tc>
          <w:tcPr>
            <w:tcW w:w="7380" w:type="dxa"/>
            <w:vAlign w:val="bottom"/>
          </w:tcPr>
          <w:p>
            <w:pPr>
              <w:ind w:left="140"/>
              <w:spacing w:after="0"/>
              <w:rPr>
                <w:sz w:val="20"/>
                <w:szCs w:val="20"/>
                <w:color w:val="auto"/>
              </w:rPr>
            </w:pPr>
            <w:r>
              <w:rPr>
                <w:rFonts w:ascii="Arial" w:cs="Arial" w:eastAsia="Arial" w:hAnsi="Arial"/>
                <w:sz w:val="17"/>
                <w:szCs w:val="17"/>
                <w:color w:val="auto"/>
              </w:rPr>
              <w:t>Prepaid expenses</w:t>
            </w: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92.5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83.6</w:t>
            </w:r>
          </w:p>
        </w:tc>
      </w:tr>
      <w:tr>
        <w:trPr>
          <w:trHeight w:val="218"/>
        </w:trPr>
        <w:tc>
          <w:tcPr>
            <w:tcW w:w="7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Short-term derivative assets, net</w:t>
            </w: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302.1</w:t>
            </w:r>
          </w:p>
        </w:tc>
      </w:tr>
      <w:tr>
        <w:trPr>
          <w:trHeight w:val="217"/>
        </w:trPr>
        <w:tc>
          <w:tcPr>
            <w:tcW w:w="73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 current assets</w:t>
            </w: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408.6</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479.9</w:t>
            </w:r>
          </w:p>
        </w:tc>
      </w:tr>
      <w:tr>
        <w:trPr>
          <w:trHeight w:val="211"/>
        </w:trPr>
        <w:tc>
          <w:tcPr>
            <w:tcW w:w="73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current assets</w:t>
            </w: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4,591.3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5,238.1</w:t>
            </w:r>
          </w:p>
        </w:tc>
      </w:tr>
      <w:tr>
        <w:trPr>
          <w:trHeight w:val="217"/>
        </w:trPr>
        <w:tc>
          <w:tcPr>
            <w:tcW w:w="738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509.8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484.2</w:t>
            </w:r>
          </w:p>
        </w:tc>
      </w:tr>
      <w:tr>
        <w:trPr>
          <w:trHeight w:val="218"/>
        </w:trPr>
        <w:tc>
          <w:tcPr>
            <w:tcW w:w="7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1,231.7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1,233.0</w:t>
            </w:r>
          </w:p>
        </w:tc>
      </w:tr>
      <w:tr>
        <w:trPr>
          <w:trHeight w:val="217"/>
        </w:trPr>
        <w:tc>
          <w:tcPr>
            <w:tcW w:w="7380" w:type="dxa"/>
            <w:vAlign w:val="bottom"/>
          </w:tcPr>
          <w:p>
            <w:pPr>
              <w:ind w:left="20"/>
              <w:spacing w:after="0"/>
              <w:rPr>
                <w:sz w:val="20"/>
                <w:szCs w:val="20"/>
                <w:color w:val="auto"/>
              </w:rPr>
            </w:pPr>
            <w:r>
              <w:rPr>
                <w:rFonts w:ascii="Arial" w:cs="Arial" w:eastAsia="Arial" w:hAnsi="Arial"/>
                <w:sz w:val="17"/>
                <w:szCs w:val="17"/>
                <w:color w:val="auto"/>
              </w:rPr>
              <w:t>Identifiable intangible assets, net</w:t>
            </w: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308.7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336.2</w:t>
            </w:r>
          </w:p>
        </w:tc>
      </w:tr>
      <w:tr>
        <w:trPr>
          <w:trHeight w:val="218"/>
        </w:trPr>
        <w:tc>
          <w:tcPr>
            <w:tcW w:w="7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non-current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841.5</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873.2</w:t>
            </w:r>
          </w:p>
        </w:tc>
      </w:tr>
      <w:tr>
        <w:trPr>
          <w:trHeight w:val="211"/>
        </w:trPr>
        <w:tc>
          <w:tcPr>
            <w:tcW w:w="7380" w:type="dxa"/>
            <w:vAlign w:val="bottom"/>
          </w:tcPr>
          <w:p>
            <w:pPr>
              <w:ind w:left="100"/>
              <w:spacing w:after="0"/>
              <w:rPr>
                <w:sz w:val="20"/>
                <w:szCs w:val="20"/>
                <w:color w:val="auto"/>
              </w:rPr>
            </w:pPr>
            <w:r>
              <w:rPr>
                <w:rFonts w:ascii="Arial" w:cs="Arial" w:eastAsia="Arial" w:hAnsi="Arial"/>
                <w:sz w:val="17"/>
                <w:szCs w:val="17"/>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7,483.1</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8,164.6</w:t>
            </w: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183"/>
        </w:trPr>
        <w:tc>
          <w:tcPr>
            <w:tcW w:w="7380" w:type="dxa"/>
            <w:vAlign w:val="bottom"/>
            <w:shd w:val="clear" w:color="auto" w:fill="CCEEFF"/>
          </w:tcPr>
          <w:p>
            <w:pPr>
              <w:ind w:left="20"/>
              <w:spacing w:after="0" w:line="184" w:lineRule="exact"/>
              <w:rPr>
                <w:sz w:val="20"/>
                <w:szCs w:val="20"/>
                <w:color w:val="auto"/>
              </w:rPr>
            </w:pPr>
            <w:r>
              <w:rPr>
                <w:rFonts w:ascii="Arial" w:cs="Arial" w:eastAsia="Arial" w:hAnsi="Arial"/>
                <w:sz w:val="17"/>
                <w:szCs w:val="17"/>
                <w:color w:val="auto"/>
              </w:rPr>
              <w:t>Liabilities:</w:t>
            </w:r>
          </w:p>
        </w:tc>
        <w:tc>
          <w:tcPr>
            <w:tcW w:w="1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r>
      <w:tr>
        <w:trPr>
          <w:trHeight w:val="217"/>
        </w:trPr>
        <w:tc>
          <w:tcPr>
            <w:tcW w:w="738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8"/>
        </w:trPr>
        <w:tc>
          <w:tcPr>
            <w:tcW w:w="7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Current maturities of long-term debt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w:t>
            </w:r>
          </w:p>
        </w:tc>
      </w:tr>
      <w:tr>
        <w:trPr>
          <w:trHeight w:val="217"/>
        </w:trPr>
        <w:tc>
          <w:tcPr>
            <w:tcW w:w="7380" w:type="dxa"/>
            <w:vAlign w:val="bottom"/>
          </w:tcPr>
          <w:p>
            <w:pPr>
              <w:ind w:left="140"/>
              <w:spacing w:after="0"/>
              <w:rPr>
                <w:sz w:val="20"/>
                <w:szCs w:val="20"/>
                <w:color w:val="auto"/>
              </w:rPr>
            </w:pPr>
            <w:r>
              <w:rPr>
                <w:rFonts w:ascii="Arial" w:cs="Arial" w:eastAsia="Arial" w:hAnsi="Arial"/>
                <w:sz w:val="17"/>
                <w:szCs w:val="17"/>
                <w:color w:val="auto"/>
              </w:rPr>
              <w:t>Accounts payable</w:t>
            </w: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3,293.3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3,529.5</w:t>
            </w:r>
          </w:p>
        </w:tc>
      </w:tr>
      <w:tr>
        <w:trPr>
          <w:trHeight w:val="218"/>
        </w:trPr>
        <w:tc>
          <w:tcPr>
            <w:tcW w:w="7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Short-term derivative liabilities, net</w:t>
            </w: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325.2</w:t>
            </w:r>
          </w:p>
        </w:tc>
      </w:tr>
      <w:tr>
        <w:trPr>
          <w:trHeight w:val="217"/>
        </w:trPr>
        <w:tc>
          <w:tcPr>
            <w:tcW w:w="73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Accrued expenses and other current liabilities</w:t>
            </w: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607.5</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738.2</w:t>
            </w:r>
          </w:p>
        </w:tc>
      </w:tr>
      <w:tr>
        <w:trPr>
          <w:trHeight w:val="211"/>
        </w:trPr>
        <w:tc>
          <w:tcPr>
            <w:tcW w:w="73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current liabilities</w:t>
            </w: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4,114.2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4,608.6</w:t>
            </w:r>
          </w:p>
        </w:tc>
      </w:tr>
      <w:tr>
        <w:trPr>
          <w:trHeight w:val="217"/>
        </w:trPr>
        <w:tc>
          <w:tcPr>
            <w:tcW w:w="7380" w:type="dxa"/>
            <w:vAlign w:val="bottom"/>
          </w:tcPr>
          <w:p>
            <w:pPr>
              <w:ind w:left="20"/>
              <w:spacing w:after="0"/>
              <w:rPr>
                <w:sz w:val="20"/>
                <w:szCs w:val="20"/>
                <w:color w:val="auto"/>
              </w:rPr>
            </w:pPr>
            <w:r>
              <w:rPr>
                <w:rFonts w:ascii="Arial" w:cs="Arial" w:eastAsia="Arial" w:hAnsi="Arial"/>
                <w:sz w:val="17"/>
                <w:szCs w:val="17"/>
                <w:color w:val="auto"/>
              </w:rPr>
              <w:t>Long-term debt</w:t>
            </w: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812.3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829.9</w:t>
            </w:r>
          </w:p>
        </w:tc>
      </w:tr>
      <w:tr>
        <w:trPr>
          <w:trHeight w:val="218"/>
        </w:trPr>
        <w:tc>
          <w:tcPr>
            <w:tcW w:w="7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581.5</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735.3</w:t>
            </w:r>
          </w:p>
        </w:tc>
      </w:tr>
      <w:tr>
        <w:trPr>
          <w:trHeight w:val="210"/>
        </w:trPr>
        <w:tc>
          <w:tcPr>
            <w:tcW w:w="738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Total liabilities</w:t>
            </w: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5,508.0</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6,173.8</w:t>
            </w:r>
          </w:p>
        </w:tc>
      </w:tr>
      <w:tr>
        <w:trPr>
          <w:trHeight w:val="198"/>
        </w:trPr>
        <w:tc>
          <w:tcPr>
            <w:tcW w:w="7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Commitments and contingencies</w:t>
            </w:r>
          </w:p>
        </w:tc>
        <w:tc>
          <w:tcPr>
            <w:tcW w:w="1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17"/>
        </w:trPr>
        <w:tc>
          <w:tcPr>
            <w:tcW w:w="7380" w:type="dxa"/>
            <w:vAlign w:val="bottom"/>
          </w:tcPr>
          <w:p>
            <w:pPr>
              <w:ind w:left="20"/>
              <w:spacing w:after="0"/>
              <w:rPr>
                <w:sz w:val="20"/>
                <w:szCs w:val="20"/>
                <w:color w:val="auto"/>
              </w:rPr>
            </w:pPr>
            <w:r>
              <w:rPr>
                <w:rFonts w:ascii="Arial" w:cs="Arial" w:eastAsia="Arial" w:hAnsi="Arial"/>
                <w:sz w:val="17"/>
                <w:szCs w:val="17"/>
                <w:color w:val="auto"/>
              </w:rPr>
              <w:t>Equity:</w:t>
            </w: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8"/>
        </w:trPr>
        <w:tc>
          <w:tcPr>
            <w:tcW w:w="7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World Kinect shareholders' equity:</w:t>
            </w: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7"/>
        </w:trPr>
        <w:tc>
          <w:tcPr>
            <w:tcW w:w="7380" w:type="dxa"/>
            <w:vAlign w:val="bottom"/>
          </w:tcPr>
          <w:p>
            <w:pPr>
              <w:ind w:left="140"/>
              <w:spacing w:after="0"/>
              <w:rPr>
                <w:sz w:val="20"/>
                <w:szCs w:val="20"/>
                <w:color w:val="auto"/>
              </w:rPr>
            </w:pPr>
            <w:r>
              <w:rPr>
                <w:rFonts w:ascii="Arial" w:cs="Arial" w:eastAsia="Arial" w:hAnsi="Arial"/>
                <w:sz w:val="17"/>
                <w:szCs w:val="17"/>
                <w:color w:val="auto"/>
              </w:rPr>
              <w:t>Preferred stock, $1.00 par value; 0.1 shares authorized, none issued</w:t>
            </w:r>
          </w:p>
        </w:tc>
        <w:tc>
          <w:tcPr>
            <w:tcW w:w="16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67"/>
        </w:trPr>
        <w:tc>
          <w:tcPr>
            <w:tcW w:w="7380" w:type="dxa"/>
            <w:vAlign w:val="bottom"/>
            <w:shd w:val="clear" w:color="auto" w:fill="CCEEFF"/>
          </w:tcPr>
          <w:p>
            <w:pPr>
              <w:ind w:left="140"/>
              <w:spacing w:after="0" w:line="167" w:lineRule="exact"/>
              <w:rPr>
                <w:sz w:val="20"/>
                <w:szCs w:val="20"/>
                <w:color w:val="auto"/>
              </w:rPr>
            </w:pPr>
            <w:r>
              <w:rPr>
                <w:rFonts w:ascii="Arial" w:cs="Arial" w:eastAsia="Arial" w:hAnsi="Arial"/>
                <w:sz w:val="17"/>
                <w:szCs w:val="17"/>
                <w:color w:val="auto"/>
                <w:w w:val="94"/>
              </w:rPr>
              <w:t>Common stock, $0.01 par value; 100.0 shares authorized, 60.2 and 62.0 issued and outstanding as of</w:t>
            </w:r>
          </w:p>
        </w:tc>
        <w:tc>
          <w:tcPr>
            <w:tcW w:w="1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r>
      <w:tr>
        <w:trPr>
          <w:trHeight w:val="230"/>
        </w:trPr>
        <w:tc>
          <w:tcPr>
            <w:tcW w:w="7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September 30, 2023 and December 31, 2022, respectively</w:t>
            </w:r>
          </w:p>
        </w:tc>
        <w:tc>
          <w:tcPr>
            <w:tcW w:w="16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r>
      <w:tr>
        <w:trPr>
          <w:trHeight w:val="217"/>
        </w:trPr>
        <w:tc>
          <w:tcPr>
            <w:tcW w:w="7380" w:type="dxa"/>
            <w:vAlign w:val="bottom"/>
          </w:tcPr>
          <w:p>
            <w:pPr>
              <w:ind w:left="140"/>
              <w:spacing w:after="0"/>
              <w:rPr>
                <w:sz w:val="20"/>
                <w:szCs w:val="20"/>
                <w:color w:val="auto"/>
              </w:rPr>
            </w:pPr>
            <w:r>
              <w:rPr>
                <w:rFonts w:ascii="Arial" w:cs="Arial" w:eastAsia="Arial" w:hAnsi="Arial"/>
                <w:sz w:val="17"/>
                <w:szCs w:val="17"/>
                <w:color w:val="auto"/>
              </w:rPr>
              <w:t>Capital in excess of par value</w:t>
            </w: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113.4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182.4</w:t>
            </w:r>
          </w:p>
        </w:tc>
      </w:tr>
      <w:tr>
        <w:trPr>
          <w:trHeight w:val="218"/>
        </w:trPr>
        <w:tc>
          <w:tcPr>
            <w:tcW w:w="7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Retained earnings</w:t>
            </w: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2,024.8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1,962.5</w:t>
            </w:r>
          </w:p>
        </w:tc>
      </w:tr>
      <w:tr>
        <w:trPr>
          <w:trHeight w:val="217"/>
        </w:trPr>
        <w:tc>
          <w:tcPr>
            <w:tcW w:w="73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Accumulated other comprehensive income (loss)</w:t>
            </w: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(170.4)</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(160.6)</w:t>
            </w:r>
          </w:p>
        </w:tc>
      </w:tr>
      <w:tr>
        <w:trPr>
          <w:trHeight w:val="211"/>
        </w:trPr>
        <w:tc>
          <w:tcPr>
            <w:tcW w:w="73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World Kinect shareholders' equity</w:t>
            </w: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1,968.3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1,984.9</w:t>
            </w:r>
          </w:p>
        </w:tc>
      </w:tr>
      <w:tr>
        <w:trPr>
          <w:trHeight w:val="217"/>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Noncontrolling interest</w:t>
            </w: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w:t>
            </w:r>
          </w:p>
        </w:tc>
      </w:tr>
      <w:tr>
        <w:trPr>
          <w:trHeight w:val="210"/>
        </w:trPr>
        <w:tc>
          <w:tcPr>
            <w:tcW w:w="73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Total equity</w:t>
            </w:r>
          </w:p>
        </w:tc>
        <w:tc>
          <w:tcPr>
            <w:tcW w:w="1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1,975.1</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1,990.7</w:t>
            </w:r>
          </w:p>
        </w:tc>
      </w:tr>
      <w:tr>
        <w:trPr>
          <w:trHeight w:val="211"/>
        </w:trPr>
        <w:tc>
          <w:tcPr>
            <w:tcW w:w="7380" w:type="dxa"/>
            <w:vAlign w:val="bottom"/>
          </w:tcPr>
          <w:p>
            <w:pPr>
              <w:ind w:left="220"/>
              <w:spacing w:after="0"/>
              <w:rPr>
                <w:sz w:val="20"/>
                <w:szCs w:val="20"/>
                <w:color w:val="auto"/>
              </w:rPr>
            </w:pPr>
            <w:r>
              <w:rPr>
                <w:rFonts w:ascii="Arial" w:cs="Arial" w:eastAsia="Arial" w:hAnsi="Arial"/>
                <w:sz w:val="17"/>
                <w:szCs w:val="17"/>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7,483.1</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8,164.6</w:t>
            </w:r>
          </w:p>
        </w:tc>
      </w:tr>
      <w:tr>
        <w:trPr>
          <w:trHeight w:val="20"/>
        </w:trPr>
        <w:tc>
          <w:tcPr>
            <w:tcW w:w="7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1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240"/>
          </w:cols>
          <w:pgMar w:left="320" w:top="130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7"/>
          <w:szCs w:val="17"/>
          <w:b w:val="1"/>
          <w:bCs w:val="1"/>
          <w:color w:val="auto"/>
        </w:rPr>
        <w:t>WORLD KINECT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INCOME AND COMPREHENSIVE INCOME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(Unaudited – In millions, except per share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20"/>
              <w:spacing w:after="0"/>
              <w:rPr>
                <w:sz w:val="20"/>
                <w:szCs w:val="20"/>
                <w:color w:val="auto"/>
              </w:rPr>
            </w:pPr>
            <w:r>
              <w:rPr>
                <w:rFonts w:ascii="Arial" w:cs="Arial" w:eastAsia="Arial" w:hAnsi="Arial"/>
                <w:sz w:val="17"/>
                <w:szCs w:val="17"/>
                <w:b w:val="1"/>
                <w:bCs w:val="1"/>
                <w:color w:val="auto"/>
              </w:rPr>
              <w:t>For the Three Months Ended</w:t>
            </w:r>
          </w:p>
        </w:tc>
        <w:tc>
          <w:tcPr>
            <w:tcW w:w="260" w:type="dxa"/>
            <w:vAlign w:val="bottom"/>
          </w:tcPr>
          <w:p>
            <w:pPr>
              <w:spacing w:after="0"/>
              <w:rPr>
                <w:sz w:val="16"/>
                <w:szCs w:val="16"/>
                <w:color w:val="auto"/>
              </w:rPr>
            </w:pPr>
          </w:p>
        </w:tc>
        <w:tc>
          <w:tcPr>
            <w:tcW w:w="2580" w:type="dxa"/>
            <w:vAlign w:val="bottom"/>
            <w:gridSpan w:val="4"/>
          </w:tcPr>
          <w:p>
            <w:pPr>
              <w:jc w:val="right"/>
              <w:ind w:right="315"/>
              <w:spacing w:after="0"/>
              <w:rPr>
                <w:sz w:val="20"/>
                <w:szCs w:val="20"/>
                <w:color w:val="auto"/>
              </w:rPr>
            </w:pPr>
            <w:r>
              <w:rPr>
                <w:rFonts w:ascii="Arial" w:cs="Arial" w:eastAsia="Arial" w:hAnsi="Arial"/>
                <w:sz w:val="17"/>
                <w:szCs w:val="17"/>
                <w:b w:val="1"/>
                <w:bCs w:val="1"/>
                <w:color w:val="auto"/>
                <w:w w:val="97"/>
              </w:rPr>
              <w:t>For the Nine Months Ended</w:t>
            </w:r>
          </w:p>
        </w:tc>
        <w:tc>
          <w:tcPr>
            <w:tcW w:w="0" w:type="dxa"/>
            <w:vAlign w:val="bottom"/>
          </w:tcPr>
          <w:p>
            <w:pPr>
              <w:spacing w:after="0"/>
              <w:rPr>
                <w:sz w:val="1"/>
                <w:szCs w:val="1"/>
                <w:color w:val="auto"/>
              </w:rPr>
            </w:pPr>
          </w:p>
        </w:tc>
      </w:tr>
      <w:tr>
        <w:trPr>
          <w:trHeight w:val="225"/>
        </w:trPr>
        <w:tc>
          <w:tcPr>
            <w:tcW w:w="5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2023</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w w:val="89"/>
              </w:rPr>
              <w:t>2022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2023</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w w:val="89"/>
              </w:rPr>
              <w:t>2022</w:t>
            </w: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12,245.3</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15,661.3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35,707.6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45,165.4</w:t>
            </w:r>
          </w:p>
        </w:tc>
        <w:tc>
          <w:tcPr>
            <w:tcW w:w="0" w:type="dxa"/>
            <w:vAlign w:val="bottom"/>
          </w:tcPr>
          <w:p>
            <w:pPr>
              <w:spacing w:after="0"/>
              <w:rPr>
                <w:sz w:val="1"/>
                <w:szCs w:val="1"/>
                <w:color w:val="auto"/>
              </w:rPr>
            </w:pPr>
          </w:p>
        </w:tc>
      </w:tr>
      <w:tr>
        <w:trPr>
          <w:trHeight w:val="217"/>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revenue</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11,963.9</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15,339.0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34,881.8</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44,358.7</w:t>
            </w:r>
          </w:p>
        </w:tc>
        <w:tc>
          <w:tcPr>
            <w:tcW w:w="0" w:type="dxa"/>
            <w:vAlign w:val="bottom"/>
          </w:tcPr>
          <w:p>
            <w:pPr>
              <w:spacing w:after="0"/>
              <w:rPr>
                <w:sz w:val="1"/>
                <w:szCs w:val="1"/>
                <w:color w:val="auto"/>
              </w:rPr>
            </w:pPr>
          </w:p>
        </w:tc>
      </w:tr>
      <w:tr>
        <w:trPr>
          <w:trHeight w:val="211"/>
        </w:trPr>
        <w:tc>
          <w:tcPr>
            <w:tcW w:w="5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281.4</w:t>
            </w:r>
          </w:p>
        </w:tc>
        <w:tc>
          <w:tcPr>
            <w:tcW w:w="1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825.8</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806.7</w:t>
            </w:r>
          </w:p>
        </w:tc>
        <w:tc>
          <w:tcPr>
            <w:tcW w:w="0" w:type="dxa"/>
            <w:vAlign w:val="bottom"/>
          </w:tcPr>
          <w:p>
            <w:pPr>
              <w:spacing w:after="0"/>
              <w:rPr>
                <w:sz w:val="1"/>
                <w:szCs w:val="1"/>
                <w:color w:val="auto"/>
              </w:rPr>
            </w:pPr>
          </w:p>
        </w:tc>
      </w:tr>
      <w:tr>
        <w:trPr>
          <w:trHeight w:val="197"/>
        </w:trPr>
        <w:tc>
          <w:tcPr>
            <w:tcW w:w="544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Compensation and employee benefits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132.0</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374.3</w:t>
            </w:r>
          </w:p>
        </w:tc>
        <w:tc>
          <w:tcPr>
            <w:tcW w:w="0" w:type="dxa"/>
            <w:vAlign w:val="bottom"/>
          </w:tcPr>
          <w:p>
            <w:pPr>
              <w:spacing w:after="0"/>
              <w:rPr>
                <w:sz w:val="1"/>
                <w:szCs w:val="1"/>
                <w:color w:val="auto"/>
              </w:rPr>
            </w:pPr>
          </w:p>
        </w:tc>
      </w:tr>
      <w:tr>
        <w:trPr>
          <w:trHeight w:val="217"/>
        </w:trPr>
        <w:tc>
          <w:tcPr>
            <w:tcW w:w="5440" w:type="dxa"/>
            <w:vAlign w:val="bottom"/>
          </w:tcPr>
          <w:p>
            <w:pPr>
              <w:ind w:left="140"/>
              <w:spacing w:after="0"/>
              <w:rPr>
                <w:sz w:val="20"/>
                <w:szCs w:val="20"/>
                <w:color w:val="auto"/>
              </w:rPr>
            </w:pPr>
            <w:r>
              <w:rPr>
                <w:rFonts w:ascii="Arial" w:cs="Arial" w:eastAsia="Arial" w:hAnsi="Arial"/>
                <w:sz w:val="17"/>
                <w:szCs w:val="17"/>
                <w:color w:val="auto"/>
              </w:rPr>
              <w:t>General and administrative</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76.1</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235.9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238.8</w:t>
            </w:r>
          </w:p>
        </w:tc>
        <w:tc>
          <w:tcPr>
            <w:tcW w:w="0" w:type="dxa"/>
            <w:vAlign w:val="bottom"/>
          </w:tcPr>
          <w:p>
            <w:pPr>
              <w:spacing w:after="0"/>
              <w:rPr>
                <w:sz w:val="1"/>
                <w:szCs w:val="1"/>
                <w:color w:val="auto"/>
              </w:rPr>
            </w:pPr>
          </w:p>
        </w:tc>
      </w:tr>
      <w:tr>
        <w:trPr>
          <w:trHeight w:val="218"/>
        </w:trPr>
        <w:tc>
          <w:tcPr>
            <w:tcW w:w="5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Asset impairments</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5440" w:type="dxa"/>
            <w:vAlign w:val="bottom"/>
          </w:tcPr>
          <w:p>
            <w:pPr>
              <w:ind w:left="140"/>
              <w:spacing w:after="0"/>
              <w:rPr>
                <w:sz w:val="20"/>
                <w:szCs w:val="20"/>
                <w:color w:val="auto"/>
              </w:rPr>
            </w:pPr>
            <w:r>
              <w:rPr>
                <w:rFonts w:ascii="Arial" w:cs="Arial" w:eastAsia="Arial" w:hAnsi="Arial"/>
                <w:sz w:val="17"/>
                <w:szCs w:val="17"/>
                <w:color w:val="auto"/>
              </w:rPr>
              <w:t>Restructuring charges</w:t>
            </w:r>
          </w:p>
        </w:tc>
        <w:tc>
          <w:tcPr>
            <w:tcW w:w="2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(0.8)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11"/>
        </w:trPr>
        <w:tc>
          <w:tcPr>
            <w:tcW w:w="54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operating expenses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208.2</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222.0</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612.5</w:t>
            </w: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612.3</w:t>
            </w:r>
          </w:p>
        </w:tc>
        <w:tc>
          <w:tcPr>
            <w:tcW w:w="0" w:type="dxa"/>
            <w:vAlign w:val="bottom"/>
          </w:tcPr>
          <w:p>
            <w:pPr>
              <w:spacing w:after="0"/>
              <w:rPr>
                <w:sz w:val="1"/>
                <w:szCs w:val="1"/>
                <w:color w:val="auto"/>
              </w:rPr>
            </w:pPr>
          </w:p>
        </w:tc>
      </w:tr>
      <w:tr>
        <w:trPr>
          <w:trHeight w:val="210"/>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from operations</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73.3</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213.3</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194.4</w:t>
            </w:r>
          </w:p>
        </w:tc>
        <w:tc>
          <w:tcPr>
            <w:tcW w:w="0" w:type="dxa"/>
            <w:vAlign w:val="bottom"/>
          </w:tcPr>
          <w:p>
            <w:pPr>
              <w:spacing w:after="0"/>
              <w:rPr>
                <w:sz w:val="1"/>
                <w:szCs w:val="1"/>
                <w:color w:val="auto"/>
              </w:rPr>
            </w:pPr>
          </w:p>
        </w:tc>
      </w:tr>
      <w:tr>
        <w:trPr>
          <w:trHeight w:val="198"/>
        </w:trPr>
        <w:tc>
          <w:tcPr>
            <w:tcW w:w="5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Non-operating income (expenses), net:</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440" w:type="dxa"/>
            <w:vAlign w:val="bottom"/>
          </w:tcPr>
          <w:p>
            <w:pPr>
              <w:ind w:left="140"/>
              <w:spacing w:after="0"/>
              <w:rPr>
                <w:sz w:val="20"/>
                <w:szCs w:val="20"/>
                <w:color w:val="auto"/>
              </w:rPr>
            </w:pPr>
            <w:r>
              <w:rPr>
                <w:rFonts w:ascii="Arial" w:cs="Arial" w:eastAsia="Arial" w:hAnsi="Arial"/>
                <w:sz w:val="17"/>
                <w:szCs w:val="17"/>
                <w:color w:val="auto"/>
              </w:rPr>
              <w:t>Interest expense and other financing costs, net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(28.6)</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(34.0)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(95.4)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(74.8)</w:t>
            </w:r>
          </w:p>
        </w:tc>
        <w:tc>
          <w:tcPr>
            <w:tcW w:w="0" w:type="dxa"/>
            <w:vAlign w:val="bottom"/>
          </w:tcPr>
          <w:p>
            <w:pPr>
              <w:spacing w:after="0"/>
              <w:rPr>
                <w:sz w:val="1"/>
                <w:szCs w:val="1"/>
                <w:color w:val="auto"/>
              </w:rPr>
            </w:pPr>
          </w:p>
        </w:tc>
      </w:tr>
      <w:tr>
        <w:trPr>
          <w:trHeight w:val="218"/>
        </w:trPr>
        <w:tc>
          <w:tcPr>
            <w:tcW w:w="5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income (expense), net</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10"/>
        </w:trPr>
        <w:tc>
          <w:tcPr>
            <w:tcW w:w="54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Total non-operating income (expense), net</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(26.9)</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(76.7)</w:t>
            </w:r>
          </w:p>
        </w:tc>
        <w:tc>
          <w:tcPr>
            <w:tcW w:w="0" w:type="dxa"/>
            <w:vAlign w:val="bottom"/>
          </w:tcPr>
          <w:p>
            <w:pPr>
              <w:spacing w:after="0"/>
              <w:rPr>
                <w:sz w:val="1"/>
                <w:szCs w:val="1"/>
                <w:color w:val="auto"/>
              </w:rPr>
            </w:pPr>
          </w:p>
        </w:tc>
      </w:tr>
      <w:tr>
        <w:trPr>
          <w:trHeight w:val="211"/>
        </w:trPr>
        <w:tc>
          <w:tcPr>
            <w:tcW w:w="5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(loss) before income taxes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46.3</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117.7</w:t>
            </w:r>
          </w:p>
        </w:tc>
        <w:tc>
          <w:tcPr>
            <w:tcW w:w="0" w:type="dxa"/>
            <w:vAlign w:val="bottom"/>
          </w:tcPr>
          <w:p>
            <w:pPr>
              <w:spacing w:after="0"/>
              <w:rPr>
                <w:sz w:val="1"/>
                <w:szCs w:val="1"/>
                <w:color w:val="auto"/>
              </w:rPr>
            </w:pPr>
          </w:p>
        </w:tc>
      </w:tr>
      <w:tr>
        <w:trPr>
          <w:trHeight w:val="217"/>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Provision for income taxes</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w:t>
            </w:r>
          </w:p>
        </w:tc>
        <w:tc>
          <w:tcPr>
            <w:tcW w:w="0" w:type="dxa"/>
            <w:vAlign w:val="bottom"/>
          </w:tcPr>
          <w:p>
            <w:pPr>
              <w:spacing w:after="0"/>
              <w:rPr>
                <w:sz w:val="1"/>
                <w:szCs w:val="1"/>
                <w:color w:val="auto"/>
              </w:rPr>
            </w:pPr>
          </w:p>
        </w:tc>
      </w:tr>
      <w:tr>
        <w:trPr>
          <w:trHeight w:val="211"/>
        </w:trPr>
        <w:tc>
          <w:tcPr>
            <w:tcW w:w="5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 including noncontrolling interest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95.0</w:t>
            </w:r>
          </w:p>
        </w:tc>
        <w:tc>
          <w:tcPr>
            <w:tcW w:w="0" w:type="dxa"/>
            <w:vAlign w:val="bottom"/>
          </w:tcPr>
          <w:p>
            <w:pPr>
              <w:spacing w:after="0"/>
              <w:rPr>
                <w:sz w:val="1"/>
                <w:szCs w:val="1"/>
                <w:color w:val="auto"/>
              </w:rPr>
            </w:pPr>
          </w:p>
        </w:tc>
      </w:tr>
      <w:tr>
        <w:trPr>
          <w:trHeight w:val="217"/>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income (loss) attributable to noncontrolling interest</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36"/>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(loss) attributable to World Kinect</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34.9</w:t>
            </w:r>
          </w:p>
        </w:tc>
        <w:tc>
          <w:tcPr>
            <w:tcW w:w="1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5"/>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87.7</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93.2</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440" w:type="dxa"/>
            <w:vAlign w:val="bottom"/>
          </w:tcPr>
          <w:p>
            <w:pPr>
              <w:ind w:left="20"/>
              <w:spacing w:after="0" w:line="189" w:lineRule="exact"/>
              <w:rPr>
                <w:sz w:val="20"/>
                <w:szCs w:val="20"/>
                <w:color w:val="auto"/>
              </w:rPr>
            </w:pPr>
            <w:r>
              <w:rPr>
                <w:rFonts w:ascii="Arial" w:cs="Arial" w:eastAsia="Arial" w:hAnsi="Arial"/>
                <w:sz w:val="17"/>
                <w:szCs w:val="17"/>
                <w:color w:val="auto"/>
              </w:rPr>
              <w:t>Basic earnings (loss) per common share</w:t>
            </w:r>
          </w:p>
        </w:tc>
        <w:tc>
          <w:tcPr>
            <w:tcW w:w="22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0.58</w:t>
            </w:r>
          </w:p>
        </w:tc>
        <w:tc>
          <w:tcPr>
            <w:tcW w:w="140" w:type="dxa"/>
            <w:vAlign w:val="bottom"/>
          </w:tcPr>
          <w:p>
            <w:pPr>
              <w:spacing w:after="0"/>
              <w:rPr>
                <w:sz w:val="16"/>
                <w:szCs w:val="16"/>
                <w:color w:val="auto"/>
              </w:rPr>
            </w:pPr>
          </w:p>
        </w:tc>
        <w:tc>
          <w:tcPr>
            <w:tcW w:w="480" w:type="dxa"/>
            <w:vAlign w:val="bottom"/>
            <w:tcBorders>
              <w:bottom w:val="single" w:sz="8" w:color="auto"/>
            </w:tcBorders>
          </w:tcPr>
          <w:p>
            <w:pPr>
              <w:jc w:val="right"/>
              <w:ind w:right="295"/>
              <w:spacing w:after="0" w:line="189" w:lineRule="exact"/>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0.69</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1.42</w:t>
            </w:r>
          </w:p>
        </w:tc>
        <w:tc>
          <w:tcPr>
            <w:tcW w:w="120" w:type="dxa"/>
            <w:vAlign w:val="bottom"/>
          </w:tcPr>
          <w:p>
            <w:pPr>
              <w:spacing w:after="0"/>
              <w:rPr>
                <w:sz w:val="16"/>
                <w:szCs w:val="16"/>
                <w:color w:val="auto"/>
              </w:rPr>
            </w:pPr>
          </w:p>
        </w:tc>
        <w:tc>
          <w:tcPr>
            <w:tcW w:w="500" w:type="dxa"/>
            <w:vAlign w:val="bottom"/>
            <w:tcBorders>
              <w:bottom w:val="single" w:sz="8" w:color="auto"/>
            </w:tcBorders>
          </w:tcPr>
          <w:p>
            <w:pPr>
              <w:jc w:val="right"/>
              <w:ind w:right="295"/>
              <w:spacing w:after="0" w:line="189"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1.49</w:t>
            </w:r>
          </w:p>
        </w:tc>
        <w:tc>
          <w:tcPr>
            <w:tcW w:w="0" w:type="dxa"/>
            <w:vAlign w:val="bottom"/>
          </w:tcPr>
          <w:p>
            <w:pPr>
              <w:spacing w:after="0"/>
              <w:rPr>
                <w:sz w:val="1"/>
                <w:szCs w:val="1"/>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 weighted average common shares</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60.3</w:t>
            </w:r>
          </w:p>
        </w:tc>
        <w:tc>
          <w:tcPr>
            <w:tcW w:w="1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61.7</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440" w:type="dxa"/>
            <w:vAlign w:val="bottom"/>
          </w:tcPr>
          <w:p>
            <w:pPr>
              <w:ind w:left="20"/>
              <w:spacing w:after="0" w:line="189" w:lineRule="exact"/>
              <w:rPr>
                <w:sz w:val="20"/>
                <w:szCs w:val="20"/>
                <w:color w:val="auto"/>
              </w:rPr>
            </w:pPr>
            <w:r>
              <w:rPr>
                <w:rFonts w:ascii="Arial" w:cs="Arial" w:eastAsia="Arial" w:hAnsi="Arial"/>
                <w:sz w:val="17"/>
                <w:szCs w:val="17"/>
                <w:color w:val="auto"/>
              </w:rPr>
              <w:t>Diluted earnings (loss) per common share</w:t>
            </w:r>
          </w:p>
        </w:tc>
        <w:tc>
          <w:tcPr>
            <w:tcW w:w="22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0.58</w:t>
            </w:r>
          </w:p>
        </w:tc>
        <w:tc>
          <w:tcPr>
            <w:tcW w:w="140" w:type="dxa"/>
            <w:vAlign w:val="bottom"/>
          </w:tcPr>
          <w:p>
            <w:pPr>
              <w:spacing w:after="0"/>
              <w:rPr>
                <w:sz w:val="16"/>
                <w:szCs w:val="16"/>
                <w:color w:val="auto"/>
              </w:rPr>
            </w:pPr>
          </w:p>
        </w:tc>
        <w:tc>
          <w:tcPr>
            <w:tcW w:w="480" w:type="dxa"/>
            <w:vAlign w:val="bottom"/>
            <w:tcBorders>
              <w:bottom w:val="single" w:sz="8" w:color="auto"/>
            </w:tcBorders>
          </w:tcPr>
          <w:p>
            <w:pPr>
              <w:jc w:val="right"/>
              <w:ind w:right="295"/>
              <w:spacing w:after="0" w:line="189" w:lineRule="exact"/>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0.68</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1.41</w:t>
            </w:r>
          </w:p>
        </w:tc>
        <w:tc>
          <w:tcPr>
            <w:tcW w:w="120" w:type="dxa"/>
            <w:vAlign w:val="bottom"/>
          </w:tcPr>
          <w:p>
            <w:pPr>
              <w:spacing w:after="0"/>
              <w:rPr>
                <w:sz w:val="16"/>
                <w:szCs w:val="16"/>
                <w:color w:val="auto"/>
              </w:rPr>
            </w:pPr>
          </w:p>
        </w:tc>
        <w:tc>
          <w:tcPr>
            <w:tcW w:w="500" w:type="dxa"/>
            <w:vAlign w:val="bottom"/>
            <w:tcBorders>
              <w:bottom w:val="single" w:sz="8" w:color="auto"/>
            </w:tcBorders>
          </w:tcPr>
          <w:p>
            <w:pPr>
              <w:jc w:val="right"/>
              <w:ind w:right="295"/>
              <w:spacing w:after="0" w:line="189"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1.48</w:t>
            </w:r>
          </w:p>
        </w:tc>
        <w:tc>
          <w:tcPr>
            <w:tcW w:w="0" w:type="dxa"/>
            <w:vAlign w:val="bottom"/>
          </w:tcPr>
          <w:p>
            <w:pPr>
              <w:spacing w:after="0"/>
              <w:rPr>
                <w:sz w:val="1"/>
                <w:szCs w:val="1"/>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Diluted weighted average common shares</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60.4</w:t>
            </w:r>
          </w:p>
        </w:tc>
        <w:tc>
          <w:tcPr>
            <w:tcW w:w="1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62.3</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62.1</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62.8</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Comprehensive income: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4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5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 including noncontrolling interest</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35.5</w:t>
            </w:r>
          </w:p>
        </w:tc>
        <w:tc>
          <w:tcPr>
            <w:tcW w:w="1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5"/>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43.9</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88.5</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29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95.0</w:t>
            </w:r>
          </w:p>
        </w:tc>
        <w:tc>
          <w:tcPr>
            <w:tcW w:w="0" w:type="dxa"/>
            <w:vAlign w:val="bottom"/>
          </w:tcPr>
          <w:p>
            <w:pPr>
              <w:spacing w:after="0"/>
              <w:rPr>
                <w:sz w:val="1"/>
                <w:szCs w:val="1"/>
                <w:color w:val="auto"/>
              </w:rPr>
            </w:pPr>
          </w:p>
        </w:tc>
      </w:tr>
      <w:tr>
        <w:trPr>
          <w:trHeight w:val="197"/>
        </w:trPr>
        <w:tc>
          <w:tcPr>
            <w:tcW w:w="5440" w:type="dxa"/>
            <w:vAlign w:val="bottom"/>
          </w:tcPr>
          <w:p>
            <w:pPr>
              <w:ind w:left="20"/>
              <w:spacing w:after="0"/>
              <w:rPr>
                <w:sz w:val="20"/>
                <w:szCs w:val="20"/>
                <w:color w:val="auto"/>
              </w:rPr>
            </w:pPr>
            <w:r>
              <w:rPr>
                <w:rFonts w:ascii="Arial" w:cs="Arial" w:eastAsia="Arial" w:hAnsi="Arial"/>
                <w:sz w:val="17"/>
                <w:szCs w:val="17"/>
                <w:color w:val="auto"/>
              </w:rPr>
              <w:t>Other comprehensive income (loss):</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Foreign currency translation adjustments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(77.5)</w:t>
            </w:r>
          </w:p>
        </w:tc>
        <w:tc>
          <w:tcPr>
            <w:tcW w:w="0" w:type="dxa"/>
            <w:vAlign w:val="bottom"/>
          </w:tcPr>
          <w:p>
            <w:pPr>
              <w:spacing w:after="0"/>
              <w:rPr>
                <w:sz w:val="1"/>
                <w:szCs w:val="1"/>
                <w:color w:val="auto"/>
              </w:rPr>
            </w:pPr>
          </w:p>
        </w:tc>
      </w:tr>
      <w:tr>
        <w:trPr>
          <w:trHeight w:val="167"/>
        </w:trPr>
        <w:tc>
          <w:tcPr>
            <w:tcW w:w="5440" w:type="dxa"/>
            <w:vAlign w:val="bottom"/>
          </w:tcPr>
          <w:p>
            <w:pPr>
              <w:ind w:left="140"/>
              <w:spacing w:after="0" w:line="167" w:lineRule="exact"/>
              <w:rPr>
                <w:sz w:val="20"/>
                <w:szCs w:val="20"/>
                <w:color w:val="auto"/>
              </w:rPr>
            </w:pPr>
            <w:r>
              <w:rPr>
                <w:rFonts w:ascii="Arial" w:cs="Arial" w:eastAsia="Arial" w:hAnsi="Arial"/>
                <w:sz w:val="17"/>
                <w:szCs w:val="17"/>
                <w:color w:val="auto"/>
                <w:w w:val="96"/>
              </w:rPr>
              <w:t>Cash flow hedges, net of income tax expense (benefit) of ($2.2) and $5.5</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5440" w:type="dxa"/>
            <w:vAlign w:val="bottom"/>
          </w:tcPr>
          <w:p>
            <w:pPr>
              <w:ind w:left="140"/>
              <w:spacing w:after="0" w:line="180" w:lineRule="exact"/>
              <w:rPr>
                <w:sz w:val="20"/>
                <w:szCs w:val="20"/>
                <w:color w:val="auto"/>
              </w:rPr>
            </w:pPr>
            <w:r>
              <w:rPr>
                <w:rFonts w:ascii="Arial" w:cs="Arial" w:eastAsia="Arial" w:hAnsi="Arial"/>
                <w:sz w:val="17"/>
                <w:szCs w:val="17"/>
                <w:color w:val="auto"/>
                <w:w w:val="91"/>
              </w:rPr>
              <w:t>for the three months ended September 30, 2023 and 2022, respectively, and</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5440" w:type="dxa"/>
            <w:vAlign w:val="bottom"/>
          </w:tcPr>
          <w:p>
            <w:pPr>
              <w:ind w:left="140"/>
              <w:spacing w:after="0" w:line="167" w:lineRule="exact"/>
              <w:rPr>
                <w:sz w:val="20"/>
                <w:szCs w:val="20"/>
                <w:color w:val="auto"/>
              </w:rPr>
            </w:pPr>
            <w:r>
              <w:rPr>
                <w:rFonts w:ascii="Arial" w:cs="Arial" w:eastAsia="Arial" w:hAnsi="Arial"/>
                <w:sz w:val="17"/>
                <w:szCs w:val="17"/>
                <w:color w:val="auto"/>
                <w:w w:val="95"/>
              </w:rPr>
              <w:t>net of income tax expense (benefit) of ($2.3) and $8.3 for the nine months</w:t>
            </w:r>
          </w:p>
        </w:tc>
        <w:tc>
          <w:tcPr>
            <w:tcW w:w="2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(5.4)</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15.1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(6.4)</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22.9</w:t>
            </w:r>
          </w:p>
        </w:tc>
        <w:tc>
          <w:tcPr>
            <w:tcW w:w="0" w:type="dxa"/>
            <w:vAlign w:val="bottom"/>
          </w:tcPr>
          <w:p>
            <w:pPr>
              <w:spacing w:after="0"/>
              <w:rPr>
                <w:sz w:val="1"/>
                <w:szCs w:val="1"/>
                <w:color w:val="auto"/>
              </w:rPr>
            </w:pPr>
          </w:p>
        </w:tc>
      </w:tr>
      <w:tr>
        <w:trPr>
          <w:trHeight w:val="217"/>
        </w:trPr>
        <w:tc>
          <w:tcPr>
            <w:tcW w:w="54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ended September 30, 2023 and 2022, respectively</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4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other comprehensive income (loss)</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1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(54.6)</w:t>
            </w:r>
          </w:p>
        </w:tc>
        <w:tc>
          <w:tcPr>
            <w:tcW w:w="0" w:type="dxa"/>
            <w:vAlign w:val="bottom"/>
          </w:tcPr>
          <w:p>
            <w:pPr>
              <w:spacing w:after="0"/>
              <w:rPr>
                <w:sz w:val="1"/>
                <w:szCs w:val="1"/>
                <w:color w:val="auto"/>
              </w:rPr>
            </w:pPr>
          </w:p>
        </w:tc>
      </w:tr>
      <w:tr>
        <w:trPr>
          <w:trHeight w:val="210"/>
        </w:trPr>
        <w:tc>
          <w:tcPr>
            <w:tcW w:w="5440" w:type="dxa"/>
            <w:vAlign w:val="bottom"/>
          </w:tcPr>
          <w:p>
            <w:pPr>
              <w:ind w:left="20"/>
              <w:spacing w:after="0"/>
              <w:rPr>
                <w:sz w:val="20"/>
                <w:szCs w:val="20"/>
                <w:color w:val="auto"/>
              </w:rPr>
            </w:pPr>
            <w:r>
              <w:rPr>
                <w:rFonts w:ascii="Arial" w:cs="Arial" w:eastAsia="Arial" w:hAnsi="Arial"/>
                <w:sz w:val="17"/>
                <w:szCs w:val="17"/>
                <w:color w:val="auto"/>
              </w:rPr>
              <w:t>Comprehensive income (loss) including noncontrolling interest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12.0</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26.7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78.8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40.4</w:t>
            </w:r>
          </w:p>
        </w:tc>
        <w:tc>
          <w:tcPr>
            <w:tcW w:w="0" w:type="dxa"/>
            <w:vAlign w:val="bottom"/>
          </w:tcPr>
          <w:p>
            <w:pPr>
              <w:spacing w:after="0"/>
              <w:rPr>
                <w:sz w:val="1"/>
                <w:szCs w:val="1"/>
                <w:color w:val="auto"/>
              </w:rPr>
            </w:pPr>
          </w:p>
        </w:tc>
      </w:tr>
      <w:tr>
        <w:trPr>
          <w:trHeight w:val="218"/>
        </w:trPr>
        <w:tc>
          <w:tcPr>
            <w:tcW w:w="5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Comprehensive income (loss) attributable to noncontrolling interest</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11"/>
        </w:trPr>
        <w:tc>
          <w:tcPr>
            <w:tcW w:w="5440" w:type="dxa"/>
            <w:vAlign w:val="bottom"/>
          </w:tcPr>
          <w:p>
            <w:pPr>
              <w:ind w:left="20"/>
              <w:spacing w:after="0"/>
              <w:rPr>
                <w:sz w:val="20"/>
                <w:szCs w:val="20"/>
                <w:color w:val="auto"/>
              </w:rPr>
            </w:pPr>
            <w:r>
              <w:rPr>
                <w:rFonts w:ascii="Arial" w:cs="Arial" w:eastAsia="Arial" w:hAnsi="Arial"/>
                <w:sz w:val="17"/>
                <w:szCs w:val="17"/>
                <w:color w:val="auto"/>
              </w:rPr>
              <w:t>Comprehensive income (loss) attributable to World Kinect</w:t>
            </w: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w:t>
            </w:r>
          </w:p>
        </w:tc>
        <w:tc>
          <w:tcPr>
            <w:tcW w:w="140" w:type="dxa"/>
            <w:vAlign w:val="bottom"/>
          </w:tcPr>
          <w:p>
            <w:pPr>
              <w:spacing w:after="0"/>
              <w:rPr>
                <w:sz w:val="18"/>
                <w:szCs w:val="18"/>
                <w:color w:val="auto"/>
              </w:rPr>
            </w:pPr>
          </w:p>
        </w:tc>
        <w:tc>
          <w:tcPr>
            <w:tcW w:w="4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25.3</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77.9</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38.6</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240"/>
          </w:cols>
          <w:pgMar w:left="320" w:top="130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7"/>
          <w:szCs w:val="17"/>
          <w:b w:val="1"/>
          <w:bCs w:val="1"/>
          <w:color w:val="auto"/>
        </w:rPr>
        <w:t>WORLD KINECT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 - In millions)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5"/>
          </w:tcPr>
          <w:p>
            <w:pPr>
              <w:jc w:val="center"/>
              <w:ind w:right="300"/>
              <w:spacing w:after="0"/>
              <w:rPr>
                <w:sz w:val="20"/>
                <w:szCs w:val="20"/>
                <w:color w:val="auto"/>
              </w:rPr>
            </w:pPr>
            <w:r>
              <w:rPr>
                <w:rFonts w:ascii="Arial" w:cs="Arial" w:eastAsia="Arial" w:hAnsi="Arial"/>
                <w:sz w:val="17"/>
                <w:szCs w:val="17"/>
                <w:b w:val="1"/>
                <w:bCs w:val="1"/>
                <w:color w:val="auto"/>
                <w:w w:val="91"/>
              </w:rPr>
              <w:t>For the Three Months Ended</w:t>
            </w:r>
          </w:p>
        </w:tc>
        <w:tc>
          <w:tcPr>
            <w:tcW w:w="180" w:type="dxa"/>
            <w:vAlign w:val="bottom"/>
          </w:tcPr>
          <w:p>
            <w:pPr>
              <w:spacing w:after="0"/>
              <w:rPr>
                <w:sz w:val="16"/>
                <w:szCs w:val="16"/>
                <w:color w:val="auto"/>
              </w:rPr>
            </w:pPr>
          </w:p>
        </w:tc>
        <w:tc>
          <w:tcPr>
            <w:tcW w:w="2420" w:type="dxa"/>
            <w:vAlign w:val="bottom"/>
            <w:gridSpan w:val="4"/>
          </w:tcPr>
          <w:p>
            <w:pPr>
              <w:jc w:val="right"/>
              <w:ind w:right="195"/>
              <w:spacing w:after="0"/>
              <w:rPr>
                <w:sz w:val="20"/>
                <w:szCs w:val="20"/>
                <w:color w:val="auto"/>
              </w:rPr>
            </w:pPr>
            <w:r>
              <w:rPr>
                <w:rFonts w:ascii="Arial" w:cs="Arial" w:eastAsia="Arial" w:hAnsi="Arial"/>
                <w:sz w:val="17"/>
                <w:szCs w:val="17"/>
                <w:b w:val="1"/>
                <w:bCs w:val="1"/>
                <w:color w:val="auto"/>
                <w:w w:val="95"/>
              </w:rPr>
              <w:t>For the Nine Months Ended</w:t>
            </w:r>
          </w:p>
        </w:tc>
      </w:tr>
      <w:tr>
        <w:trPr>
          <w:trHeight w:val="225"/>
        </w:trPr>
        <w:tc>
          <w:tcPr>
            <w:tcW w:w="5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80" w:type="dxa"/>
            <w:vAlign w:val="bottom"/>
            <w:gridSpan w:val="5"/>
          </w:tcPr>
          <w:p>
            <w:pPr>
              <w:jc w:val="center"/>
              <w:ind w:right="300"/>
              <w:spacing w:after="0"/>
              <w:rPr>
                <w:sz w:val="20"/>
                <w:szCs w:val="20"/>
                <w:color w:val="auto"/>
              </w:rPr>
            </w:pPr>
            <w:r>
              <w:rPr>
                <w:rFonts w:ascii="Arial" w:cs="Arial" w:eastAsia="Arial" w:hAnsi="Arial"/>
                <w:sz w:val="17"/>
                <w:szCs w:val="17"/>
                <w:b w:val="1"/>
                <w:bCs w:val="1"/>
                <w:color w:val="auto"/>
                <w:w w:val="89"/>
              </w:rPr>
              <w:t>September 30,</w:t>
            </w:r>
          </w:p>
        </w:tc>
        <w:tc>
          <w:tcPr>
            <w:tcW w:w="180" w:type="dxa"/>
            <w:vAlign w:val="bottom"/>
          </w:tcPr>
          <w:p>
            <w:pPr>
              <w:spacing w:after="0"/>
              <w:rPr>
                <w:sz w:val="19"/>
                <w:szCs w:val="19"/>
                <w:color w:val="auto"/>
              </w:rPr>
            </w:pPr>
          </w:p>
        </w:tc>
        <w:tc>
          <w:tcPr>
            <w:tcW w:w="2420" w:type="dxa"/>
            <w:vAlign w:val="bottom"/>
            <w:gridSpan w:val="4"/>
          </w:tcPr>
          <w:p>
            <w:pPr>
              <w:jc w:val="right"/>
              <w:ind w:right="695"/>
              <w:spacing w:after="0"/>
              <w:rPr>
                <w:sz w:val="20"/>
                <w:szCs w:val="20"/>
                <w:color w:val="auto"/>
              </w:rPr>
            </w:pPr>
            <w:r>
              <w:rPr>
                <w:rFonts w:ascii="Arial" w:cs="Arial" w:eastAsia="Arial" w:hAnsi="Arial"/>
                <w:sz w:val="17"/>
                <w:szCs w:val="17"/>
                <w:b w:val="1"/>
                <w:bCs w:val="1"/>
                <w:color w:val="auto"/>
              </w:rPr>
              <w:t>September 30,</w:t>
            </w:r>
          </w:p>
        </w:tc>
      </w:tr>
      <w:tr>
        <w:trPr>
          <w:trHeight w:val="216"/>
        </w:trPr>
        <w:tc>
          <w:tcPr>
            <w:tcW w:w="59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2022</w:t>
            </w: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2022</w:t>
            </w:r>
          </w:p>
        </w:tc>
      </w:tr>
      <w:tr>
        <w:trPr>
          <w:trHeight w:val="210"/>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7"/>
        </w:trPr>
        <w:tc>
          <w:tcPr>
            <w:tcW w:w="5900" w:type="dxa"/>
            <w:vAlign w:val="bottom"/>
          </w:tcPr>
          <w:p>
            <w:pPr>
              <w:ind w:left="140"/>
              <w:spacing w:after="0"/>
              <w:rPr>
                <w:sz w:val="20"/>
                <w:szCs w:val="20"/>
                <w:color w:val="auto"/>
              </w:rPr>
            </w:pPr>
            <w:r>
              <w:rPr>
                <w:rFonts w:ascii="Arial" w:cs="Arial" w:eastAsia="Arial" w:hAnsi="Arial"/>
                <w:sz w:val="17"/>
                <w:szCs w:val="17"/>
                <w:color w:val="auto"/>
              </w:rPr>
              <w:t>Net income (loss) including noncontrolling interest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35.5</w:t>
            </w:r>
          </w:p>
        </w:tc>
        <w:tc>
          <w:tcPr>
            <w:tcW w:w="120" w:type="dxa"/>
            <w:vAlign w:val="bottom"/>
          </w:tcPr>
          <w:p>
            <w:pPr>
              <w:spacing w:after="0"/>
              <w:rPr>
                <w:sz w:val="18"/>
                <w:szCs w:val="18"/>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43.9</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88.5</w:t>
            </w:r>
          </w:p>
        </w:tc>
        <w:tc>
          <w:tcPr>
            <w:tcW w:w="120" w:type="dxa"/>
            <w:vAlign w:val="bottom"/>
          </w:tcPr>
          <w:p>
            <w:pPr>
              <w:spacing w:after="0"/>
              <w:rPr>
                <w:sz w:val="18"/>
                <w:szCs w:val="18"/>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95.0</w:t>
            </w:r>
          </w:p>
        </w:tc>
      </w:tr>
      <w:tr>
        <w:trPr>
          <w:trHeight w:val="167"/>
        </w:trPr>
        <w:tc>
          <w:tcPr>
            <w:tcW w:w="5900" w:type="dxa"/>
            <w:vAlign w:val="bottom"/>
            <w:shd w:val="clear" w:color="auto" w:fill="CCEEFF"/>
          </w:tcPr>
          <w:p>
            <w:pPr>
              <w:ind w:left="140"/>
              <w:spacing w:after="0" w:line="167" w:lineRule="exact"/>
              <w:rPr>
                <w:sz w:val="20"/>
                <w:szCs w:val="20"/>
                <w:color w:val="auto"/>
              </w:rPr>
            </w:pPr>
            <w:r>
              <w:rPr>
                <w:rFonts w:ascii="Arial" w:cs="Arial" w:eastAsia="Arial" w:hAnsi="Arial"/>
                <w:sz w:val="17"/>
                <w:szCs w:val="17"/>
                <w:color w:val="auto"/>
                <w:w w:val="95"/>
              </w:rPr>
              <w:t>Adjustments to reconcile net income including noncontrolling interest to net cash</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30"/>
        </w:trPr>
        <w:tc>
          <w:tcPr>
            <w:tcW w:w="5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provided by operating activities:</w:t>
            </w: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17"/>
        </w:trPr>
        <w:tc>
          <w:tcPr>
            <w:tcW w:w="5900" w:type="dxa"/>
            <w:vAlign w:val="bottom"/>
          </w:tcPr>
          <w:p>
            <w:pPr>
              <w:ind w:left="220"/>
              <w:spacing w:after="0"/>
              <w:rPr>
                <w:sz w:val="20"/>
                <w:szCs w:val="20"/>
                <w:color w:val="auto"/>
              </w:rPr>
            </w:pPr>
            <w:r>
              <w:rPr>
                <w:rFonts w:ascii="Arial" w:cs="Arial" w:eastAsia="Arial" w:hAnsi="Arial"/>
                <w:sz w:val="17"/>
                <w:szCs w:val="17"/>
                <w:color w:val="auto"/>
              </w:rPr>
              <w:t>Unrealized (gain) loss on derivatives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(45.6)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104.3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(191.7)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88.0</w:t>
            </w:r>
          </w:p>
        </w:tc>
      </w:tr>
      <w:tr>
        <w:trPr>
          <w:trHeight w:val="218"/>
        </w:trPr>
        <w:tc>
          <w:tcPr>
            <w:tcW w:w="59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Depreciation and amortization</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w:t>
            </w:r>
          </w:p>
        </w:tc>
      </w:tr>
      <w:tr>
        <w:trPr>
          <w:trHeight w:val="217"/>
        </w:trPr>
        <w:tc>
          <w:tcPr>
            <w:tcW w:w="5900" w:type="dxa"/>
            <w:vAlign w:val="bottom"/>
          </w:tcPr>
          <w:p>
            <w:pPr>
              <w:ind w:left="220"/>
              <w:spacing w:after="0"/>
              <w:rPr>
                <w:sz w:val="20"/>
                <w:szCs w:val="20"/>
                <w:color w:val="auto"/>
              </w:rPr>
            </w:pPr>
            <w:r>
              <w:rPr>
                <w:rFonts w:ascii="Arial" w:cs="Arial" w:eastAsia="Arial" w:hAnsi="Arial"/>
                <w:sz w:val="17"/>
                <w:szCs w:val="17"/>
                <w:color w:val="auto"/>
              </w:rPr>
              <w:t>Noncash operating lease expense</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26.6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26.9</w:t>
            </w:r>
          </w:p>
        </w:tc>
      </w:tr>
      <w:tr>
        <w:trPr>
          <w:trHeight w:val="218"/>
        </w:trPr>
        <w:tc>
          <w:tcPr>
            <w:tcW w:w="59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Provision for credit losses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r>
      <w:tr>
        <w:trPr>
          <w:trHeight w:val="217"/>
        </w:trPr>
        <w:tc>
          <w:tcPr>
            <w:tcW w:w="5900" w:type="dxa"/>
            <w:vAlign w:val="bottom"/>
          </w:tcPr>
          <w:p>
            <w:pPr>
              <w:ind w:left="220"/>
              <w:spacing w:after="0"/>
              <w:rPr>
                <w:sz w:val="20"/>
                <w:szCs w:val="20"/>
                <w:color w:val="auto"/>
              </w:rPr>
            </w:pPr>
            <w:r>
              <w:rPr>
                <w:rFonts w:ascii="Arial" w:cs="Arial" w:eastAsia="Arial" w:hAnsi="Arial"/>
                <w:sz w:val="17"/>
                <w:szCs w:val="17"/>
                <w:color w:val="auto"/>
              </w:rPr>
              <w:t>Share-based payment award compensation costs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14.0</w:t>
            </w:r>
          </w:p>
        </w:tc>
      </w:tr>
      <w:tr>
        <w:trPr>
          <w:trHeight w:val="218"/>
        </w:trPr>
        <w:tc>
          <w:tcPr>
            <w:tcW w:w="59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income tax expense (benefit)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r>
      <w:tr>
        <w:trPr>
          <w:trHeight w:val="217"/>
        </w:trPr>
        <w:tc>
          <w:tcPr>
            <w:tcW w:w="5900" w:type="dxa"/>
            <w:vAlign w:val="bottom"/>
          </w:tcPr>
          <w:p>
            <w:pPr>
              <w:ind w:left="220"/>
              <w:spacing w:after="0"/>
              <w:rPr>
                <w:sz w:val="20"/>
                <w:szCs w:val="20"/>
                <w:color w:val="auto"/>
              </w:rPr>
            </w:pPr>
            <w:r>
              <w:rPr>
                <w:rFonts w:ascii="Arial" w:cs="Arial" w:eastAsia="Arial" w:hAnsi="Arial"/>
                <w:sz w:val="17"/>
                <w:szCs w:val="17"/>
                <w:color w:val="auto"/>
              </w:rPr>
              <w:t>Unrealized foreign currency (gains) losses, net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0.6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20.9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15.7</w:t>
            </w:r>
          </w:p>
        </w:tc>
      </w:tr>
      <w:tr>
        <w:trPr>
          <w:trHeight w:val="218"/>
        </w:trPr>
        <w:tc>
          <w:tcPr>
            <w:tcW w:w="59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w:t>
            </w:r>
          </w:p>
        </w:tc>
      </w:tr>
      <w:tr>
        <w:trPr>
          <w:trHeight w:val="217"/>
        </w:trPr>
        <w:tc>
          <w:tcPr>
            <w:tcW w:w="5900" w:type="dxa"/>
            <w:vAlign w:val="bottom"/>
          </w:tcPr>
          <w:p>
            <w:pPr>
              <w:ind w:left="220"/>
              <w:spacing w:after="0"/>
              <w:rPr>
                <w:sz w:val="20"/>
                <w:szCs w:val="20"/>
                <w:color w:val="auto"/>
              </w:rPr>
            </w:pPr>
            <w:r>
              <w:rPr>
                <w:rFonts w:ascii="Arial" w:cs="Arial" w:eastAsia="Arial" w:hAnsi="Arial"/>
                <w:sz w:val="17"/>
                <w:szCs w:val="17"/>
                <w:color w:val="auto"/>
              </w:rPr>
              <w:t>Changes in assets and liabilities, net of acquisitions and divestitures: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8"/>
        </w:trPr>
        <w:tc>
          <w:tcPr>
            <w:tcW w:w="59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Accounts receivable, net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740.5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(798.6)</w:t>
            </w:r>
          </w:p>
        </w:tc>
      </w:tr>
      <w:tr>
        <w:trPr>
          <w:trHeight w:val="217"/>
        </w:trPr>
        <w:tc>
          <w:tcPr>
            <w:tcW w:w="5900" w:type="dxa"/>
            <w:vAlign w:val="bottom"/>
          </w:tcPr>
          <w:p>
            <w:pPr>
              <w:ind w:left="320"/>
              <w:spacing w:after="0"/>
              <w:rPr>
                <w:sz w:val="20"/>
                <w:szCs w:val="20"/>
                <w:color w:val="auto"/>
              </w:rPr>
            </w:pPr>
            <w:r>
              <w:rPr>
                <w:rFonts w:ascii="Arial" w:cs="Arial" w:eastAsia="Arial" w:hAnsi="Arial"/>
                <w:sz w:val="17"/>
                <w:szCs w:val="17"/>
                <w:color w:val="auto"/>
              </w:rPr>
              <w:t>Inventories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175.8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128.1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(207.1)</w:t>
            </w:r>
          </w:p>
        </w:tc>
      </w:tr>
      <w:tr>
        <w:trPr>
          <w:trHeight w:val="218"/>
        </w:trPr>
        <w:tc>
          <w:tcPr>
            <w:tcW w:w="59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Prepaid expenses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w:t>
            </w:r>
          </w:p>
        </w:tc>
      </w:tr>
      <w:tr>
        <w:trPr>
          <w:trHeight w:val="217"/>
        </w:trPr>
        <w:tc>
          <w:tcPr>
            <w:tcW w:w="5900" w:type="dxa"/>
            <w:vAlign w:val="bottom"/>
          </w:tcPr>
          <w:p>
            <w:pPr>
              <w:ind w:left="320"/>
              <w:spacing w:after="0"/>
              <w:rPr>
                <w:sz w:val="20"/>
                <w:szCs w:val="20"/>
                <w:color w:val="auto"/>
              </w:rPr>
            </w:pPr>
            <w:r>
              <w:rPr>
                <w:rFonts w:ascii="Arial" w:cs="Arial" w:eastAsia="Arial" w:hAnsi="Arial"/>
                <w:sz w:val="17"/>
                <w:szCs w:val="17"/>
                <w:color w:val="auto"/>
              </w:rPr>
              <w:t>Other current assets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(134.5)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(38.3)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(85.9)</w:t>
            </w:r>
          </w:p>
        </w:tc>
      </w:tr>
      <w:tr>
        <w:trPr>
          <w:trHeight w:val="218"/>
        </w:trPr>
        <w:tc>
          <w:tcPr>
            <w:tcW w:w="59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 collateral with counterparties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76.7</w:t>
            </w:r>
          </w:p>
        </w:tc>
      </w:tr>
      <w:tr>
        <w:trPr>
          <w:trHeight w:val="217"/>
        </w:trPr>
        <w:tc>
          <w:tcPr>
            <w:tcW w:w="5900" w:type="dxa"/>
            <w:vAlign w:val="bottom"/>
          </w:tcPr>
          <w:p>
            <w:pPr>
              <w:ind w:left="320"/>
              <w:spacing w:after="0"/>
              <w:rPr>
                <w:sz w:val="20"/>
                <w:szCs w:val="20"/>
                <w:color w:val="auto"/>
              </w:rPr>
            </w:pPr>
            <w:r>
              <w:rPr>
                <w:rFonts w:ascii="Arial" w:cs="Arial" w:eastAsia="Arial" w:hAnsi="Arial"/>
                <w:sz w:val="17"/>
                <w:szCs w:val="17"/>
                <w:color w:val="auto"/>
              </w:rPr>
              <w:t>Other non-current assets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(17.7)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(26.5)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(73.7)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(9.9)</w:t>
            </w:r>
          </w:p>
        </w:tc>
      </w:tr>
      <w:tr>
        <w:trPr>
          <w:trHeight w:val="218"/>
        </w:trPr>
        <w:tc>
          <w:tcPr>
            <w:tcW w:w="59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Change in derivative assets and liabilities, net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r>
      <w:tr>
        <w:trPr>
          <w:trHeight w:val="217"/>
        </w:trPr>
        <w:tc>
          <w:tcPr>
            <w:tcW w:w="5900" w:type="dxa"/>
            <w:vAlign w:val="bottom"/>
          </w:tcPr>
          <w:p>
            <w:pPr>
              <w:ind w:left="320"/>
              <w:spacing w:after="0"/>
              <w:rPr>
                <w:sz w:val="20"/>
                <w:szCs w:val="20"/>
                <w:color w:val="auto"/>
              </w:rPr>
            </w:pPr>
            <w:r>
              <w:rPr>
                <w:rFonts w:ascii="Arial" w:cs="Arial" w:eastAsia="Arial" w:hAnsi="Arial"/>
                <w:sz w:val="17"/>
                <w:szCs w:val="17"/>
                <w:color w:val="auto"/>
              </w:rPr>
              <w:t>Accounts payable</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609.7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(657.8)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(216.9)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845.7</w:t>
            </w:r>
          </w:p>
        </w:tc>
      </w:tr>
      <w:tr>
        <w:trPr>
          <w:trHeight w:val="218"/>
        </w:trPr>
        <w:tc>
          <w:tcPr>
            <w:tcW w:w="59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Accrued expenses and other current liabilities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186.6</w:t>
            </w:r>
          </w:p>
        </w:tc>
      </w:tr>
      <w:tr>
        <w:trPr>
          <w:trHeight w:val="217"/>
        </w:trPr>
        <w:tc>
          <w:tcPr>
            <w:tcW w:w="590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Other long-term liabilities</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(21.7)</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(90.6)</w:t>
            </w:r>
          </w:p>
        </w:tc>
      </w:tr>
      <w:tr>
        <w:trPr>
          <w:trHeight w:val="211"/>
        </w:trPr>
        <w:tc>
          <w:tcPr>
            <w:tcW w:w="590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Net cash provided by (used in) operating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258.5</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229.3</w:t>
            </w:r>
          </w:p>
        </w:tc>
      </w:tr>
      <w:tr>
        <w:trPr>
          <w:trHeight w:val="210"/>
        </w:trPr>
        <w:tc>
          <w:tcPr>
            <w:tcW w:w="5900" w:type="dxa"/>
            <w:vAlign w:val="bottom"/>
          </w:tcPr>
          <w:p>
            <w:pPr>
              <w:ind w:left="20"/>
              <w:spacing w:after="0"/>
              <w:rPr>
                <w:sz w:val="20"/>
                <w:szCs w:val="20"/>
                <w:color w:val="auto"/>
              </w:rPr>
            </w:pPr>
            <w:r>
              <w:rPr>
                <w:rFonts w:ascii="Arial" w:cs="Arial" w:eastAsia="Arial" w:hAnsi="Arial"/>
                <w:sz w:val="17"/>
                <w:szCs w:val="17"/>
                <w:color w:val="auto"/>
              </w:rPr>
              <w:t>Cash flows from investing activities: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8"/>
        </w:trPr>
        <w:tc>
          <w:tcPr>
            <w:tcW w:w="5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Acquisition of business, net of cash acquired</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(641.7)</w:t>
            </w:r>
          </w:p>
        </w:tc>
      </w:tr>
      <w:tr>
        <w:trPr>
          <w:trHeight w:val="217"/>
        </w:trPr>
        <w:tc>
          <w:tcPr>
            <w:tcW w:w="5900" w:type="dxa"/>
            <w:vAlign w:val="bottom"/>
          </w:tcPr>
          <w:p>
            <w:pPr>
              <w:ind w:left="140"/>
              <w:spacing w:after="0"/>
              <w:rPr>
                <w:sz w:val="20"/>
                <w:szCs w:val="20"/>
                <w:color w:val="auto"/>
              </w:rPr>
            </w:pPr>
            <w:r>
              <w:rPr>
                <w:rFonts w:ascii="Arial" w:cs="Arial" w:eastAsia="Arial" w:hAnsi="Arial"/>
                <w:sz w:val="17"/>
                <w:szCs w:val="17"/>
                <w:color w:val="auto"/>
              </w:rPr>
              <w:t>Capital expenditures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(21.4)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(18.5)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(67.9)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(56.2)</w:t>
            </w:r>
          </w:p>
        </w:tc>
      </w:tr>
      <w:tr>
        <w:trPr>
          <w:trHeight w:val="218"/>
        </w:trPr>
        <w:tc>
          <w:tcPr>
            <w:tcW w:w="5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investing activities, net</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10"/>
        </w:trPr>
        <w:tc>
          <w:tcPr>
            <w:tcW w:w="5900" w:type="dxa"/>
            <w:vAlign w:val="bottom"/>
            <w:tcBorders>
              <w:bottom w:val="single" w:sz="8" w:color="CCEEFF"/>
            </w:tcBorders>
          </w:tcPr>
          <w:p>
            <w:pPr>
              <w:ind w:left="40"/>
              <w:spacing w:after="0"/>
              <w:rPr>
                <w:sz w:val="20"/>
                <w:szCs w:val="20"/>
                <w:color w:val="auto"/>
              </w:rPr>
            </w:pPr>
            <w:r>
              <w:rPr>
                <w:rFonts w:ascii="Arial" w:cs="Arial" w:eastAsia="Arial" w:hAnsi="Arial"/>
                <w:sz w:val="17"/>
                <w:szCs w:val="17"/>
                <w:b w:val="1"/>
                <w:bCs w:val="1"/>
                <w:color w:val="auto"/>
              </w:rPr>
              <w:t>Net cash provided by (used in) investing activities</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(699.2)</w:t>
            </w:r>
          </w:p>
        </w:tc>
      </w:tr>
      <w:tr>
        <w:trPr>
          <w:trHeight w:val="211"/>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financing activities: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7"/>
        </w:trPr>
        <w:tc>
          <w:tcPr>
            <w:tcW w:w="5900" w:type="dxa"/>
            <w:vAlign w:val="bottom"/>
          </w:tcPr>
          <w:p>
            <w:pPr>
              <w:ind w:left="140"/>
              <w:spacing w:after="0"/>
              <w:rPr>
                <w:sz w:val="20"/>
                <w:szCs w:val="20"/>
                <w:color w:val="auto"/>
              </w:rPr>
            </w:pPr>
            <w:r>
              <w:rPr>
                <w:rFonts w:ascii="Arial" w:cs="Arial" w:eastAsia="Arial" w:hAnsi="Arial"/>
                <w:sz w:val="17"/>
                <w:szCs w:val="17"/>
                <w:color w:val="auto"/>
              </w:rPr>
              <w:t>Borrowings of debt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830.0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2,465.3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4,051.3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6,238.1</w:t>
            </w:r>
          </w:p>
        </w:tc>
      </w:tr>
      <w:tr>
        <w:trPr>
          <w:trHeight w:val="218"/>
        </w:trPr>
        <w:tc>
          <w:tcPr>
            <w:tcW w:w="5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Repayments of debt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(831.3)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(2,793.8)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(4,362.7)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(6,038.7)</w:t>
            </w:r>
          </w:p>
        </w:tc>
      </w:tr>
      <w:tr>
        <w:trPr>
          <w:trHeight w:val="217"/>
        </w:trPr>
        <w:tc>
          <w:tcPr>
            <w:tcW w:w="5900" w:type="dxa"/>
            <w:vAlign w:val="bottom"/>
          </w:tcPr>
          <w:p>
            <w:pPr>
              <w:ind w:left="140"/>
              <w:spacing w:after="0"/>
              <w:rPr>
                <w:sz w:val="20"/>
                <w:szCs w:val="20"/>
                <w:color w:val="auto"/>
              </w:rPr>
            </w:pPr>
            <w:r>
              <w:rPr>
                <w:rFonts w:ascii="Arial" w:cs="Arial" w:eastAsia="Arial" w:hAnsi="Arial"/>
                <w:sz w:val="17"/>
                <w:szCs w:val="17"/>
                <w:color w:val="auto"/>
              </w:rPr>
              <w:t>Issuance of Convertible Notes</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350.0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5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Dividends paid on common stock</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w:t>
            </w:r>
          </w:p>
        </w:tc>
      </w:tr>
      <w:tr>
        <w:trPr>
          <w:trHeight w:val="217"/>
        </w:trPr>
        <w:tc>
          <w:tcPr>
            <w:tcW w:w="5900" w:type="dxa"/>
            <w:vAlign w:val="bottom"/>
          </w:tcPr>
          <w:p>
            <w:pPr>
              <w:ind w:left="140"/>
              <w:spacing w:after="0"/>
              <w:rPr>
                <w:sz w:val="20"/>
                <w:szCs w:val="20"/>
                <w:color w:val="auto"/>
              </w:rPr>
            </w:pPr>
            <w:r>
              <w:rPr>
                <w:rFonts w:ascii="Arial" w:cs="Arial" w:eastAsia="Arial" w:hAnsi="Arial"/>
                <w:sz w:val="17"/>
                <w:szCs w:val="17"/>
                <w:color w:val="auto"/>
              </w:rPr>
              <w:t>Repurchases of common stock</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(48.7)</w:t>
            </w:r>
          </w:p>
        </w:tc>
      </w:tr>
      <w:tr>
        <w:trPr>
          <w:trHeight w:val="218"/>
        </w:trPr>
        <w:tc>
          <w:tcPr>
            <w:tcW w:w="5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Purchase of convertible note hedges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7"/>
        </w:trPr>
        <w:tc>
          <w:tcPr>
            <w:tcW w:w="5900" w:type="dxa"/>
            <w:vAlign w:val="bottom"/>
          </w:tcPr>
          <w:p>
            <w:pPr>
              <w:ind w:left="140"/>
              <w:spacing w:after="0"/>
              <w:rPr>
                <w:sz w:val="20"/>
                <w:szCs w:val="20"/>
                <w:color w:val="auto"/>
              </w:rPr>
            </w:pPr>
            <w:r>
              <w:rPr>
                <w:rFonts w:ascii="Arial" w:cs="Arial" w:eastAsia="Arial" w:hAnsi="Arial"/>
                <w:sz w:val="17"/>
                <w:szCs w:val="17"/>
                <w:color w:val="auto"/>
              </w:rPr>
              <w:t>Sale of warrants</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5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Payments of deferred consideration for acquisitions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r>
      <w:tr>
        <w:trPr>
          <w:trHeight w:val="217"/>
        </w:trPr>
        <w:tc>
          <w:tcPr>
            <w:tcW w:w="5900" w:type="dxa"/>
            <w:vAlign w:val="bottom"/>
          </w:tcPr>
          <w:p>
            <w:pPr>
              <w:ind w:left="140"/>
              <w:spacing w:after="0"/>
              <w:rPr>
                <w:sz w:val="20"/>
                <w:szCs w:val="20"/>
                <w:color w:val="auto"/>
              </w:rPr>
            </w:pPr>
            <w:r>
              <w:rPr>
                <w:rFonts w:ascii="Arial" w:cs="Arial" w:eastAsia="Arial" w:hAnsi="Arial"/>
                <w:sz w:val="17"/>
                <w:szCs w:val="17"/>
                <w:color w:val="auto"/>
              </w:rPr>
              <w:t>Other financing activities, net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11"/>
        </w:trPr>
        <w:tc>
          <w:tcPr>
            <w:tcW w:w="5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Net cash provided by (used in) financing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(336.0)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(140.4)</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115.0</w:t>
            </w:r>
          </w:p>
        </w:tc>
      </w:tr>
      <w:tr>
        <w:trPr>
          <w:trHeight w:val="210"/>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Effect of exchange rate changes on cash and cash equivalents</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w:t>
            </w:r>
          </w:p>
        </w:tc>
      </w:tr>
      <w:tr>
        <w:trPr>
          <w:trHeight w:val="211"/>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increase (decrease) in cash and cash equivalents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(371.9)</w:t>
            </w:r>
          </w:p>
        </w:tc>
      </w:tr>
      <w:tr>
        <w:trPr>
          <w:trHeight w:val="217"/>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Cash and cash equivalents, as of the beginning of the period</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293.9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385.8</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298.4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652.2</w:t>
            </w:r>
          </w:p>
        </w:tc>
      </w:tr>
      <w:tr>
        <w:trPr>
          <w:trHeight w:val="236"/>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and cash equivalents, as of the end of the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335.6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280.3</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335.6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280.3</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240"/>
          </w:cols>
          <w:pgMar w:left="320" w:top="130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7"/>
          <w:szCs w:val="17"/>
          <w:b w:val="1"/>
          <w:bCs w:val="1"/>
          <w:color w:val="auto"/>
        </w:rPr>
        <w:t>WORLD KINECT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RECONCILIATION OF GAAP TO 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 - In millions, except per share data)</w:t>
      </w:r>
    </w:p>
    <w:p>
      <w:pPr>
        <w:spacing w:after="0" w:line="161" w:lineRule="exact"/>
        <w:rPr>
          <w:sz w:val="20"/>
          <w:szCs w:val="20"/>
          <w:color w:val="auto"/>
        </w:rPr>
      </w:pPr>
    </w:p>
    <w:tbl>
      <w:tblPr>
        <w:tblLayout w:type="fixed"/>
        <w:tblInd w:w="2880" w:type="dxa"/>
        <w:tblCellMar>
          <w:top w:w="0" w:type="dxa"/>
          <w:left w:w="0" w:type="dxa"/>
          <w:bottom w:w="0" w:type="dxa"/>
          <w:right w:w="0" w:type="dxa"/>
        </w:tblCellMar>
      </w:tblPr>
      <w:tr>
        <w:trPr>
          <w:trHeight w:val="221"/>
        </w:trPr>
        <w:tc>
          <w:tcPr>
            <w:tcW w:w="4280" w:type="dxa"/>
            <w:vAlign w:val="bottom"/>
            <w:gridSpan w:val="3"/>
          </w:tcPr>
          <w:p>
            <w:pPr>
              <w:ind w:left="480"/>
              <w:spacing w:after="0"/>
              <w:rPr>
                <w:sz w:val="20"/>
                <w:szCs w:val="20"/>
                <w:color w:val="auto"/>
              </w:rPr>
            </w:pPr>
            <w:r>
              <w:rPr>
                <w:rFonts w:ascii="Arial" w:cs="Arial" w:eastAsia="Arial" w:hAnsi="Arial"/>
                <w:sz w:val="17"/>
                <w:szCs w:val="17"/>
                <w:b w:val="1"/>
                <w:bCs w:val="1"/>
                <w:color w:val="auto"/>
              </w:rPr>
              <w:t>For the Three Months Ended September 30,</w:t>
            </w:r>
          </w:p>
        </w:tc>
        <w:tc>
          <w:tcPr>
            <w:tcW w:w="4060" w:type="dxa"/>
            <w:vAlign w:val="bottom"/>
            <w:gridSpan w:val="2"/>
          </w:tcPr>
          <w:p>
            <w:pPr>
              <w:jc w:val="right"/>
              <w:ind w:right="375"/>
              <w:spacing w:after="0"/>
              <w:rPr>
                <w:sz w:val="20"/>
                <w:szCs w:val="20"/>
                <w:color w:val="auto"/>
              </w:rPr>
            </w:pPr>
            <w:r>
              <w:rPr>
                <w:rFonts w:ascii="Arial" w:cs="Arial" w:eastAsia="Arial" w:hAnsi="Arial"/>
                <w:sz w:val="17"/>
                <w:szCs w:val="17"/>
                <w:b w:val="1"/>
                <w:bCs w:val="1"/>
                <w:color w:val="auto"/>
              </w:rPr>
              <w:t>For the Nine Months Ended September 30,</w:t>
            </w:r>
          </w:p>
        </w:tc>
      </w:tr>
      <w:tr>
        <w:trPr>
          <w:trHeight w:val="223"/>
        </w:trPr>
        <w:tc>
          <w:tcPr>
            <w:tcW w:w="2080" w:type="dxa"/>
            <w:vAlign w:val="bottom"/>
            <w:tcBorders>
              <w:top w:val="single" w:sz="8" w:color="auto"/>
            </w:tcBorders>
          </w:tcPr>
          <w:p>
            <w:pPr>
              <w:jc w:val="right"/>
              <w:ind w:right="815"/>
              <w:spacing w:after="0"/>
              <w:rPr>
                <w:sz w:val="20"/>
                <w:szCs w:val="20"/>
                <w:color w:val="auto"/>
              </w:rPr>
            </w:pPr>
            <w:r>
              <w:rPr>
                <w:rFonts w:ascii="Arial" w:cs="Arial" w:eastAsia="Arial" w:hAnsi="Arial"/>
                <w:sz w:val="17"/>
                <w:szCs w:val="17"/>
                <w:b w:val="1"/>
                <w:bCs w:val="1"/>
                <w:color w:val="auto"/>
              </w:rPr>
              <w:t>2023</w:t>
            </w:r>
          </w:p>
        </w:tc>
        <w:tc>
          <w:tcPr>
            <w:tcW w:w="2080" w:type="dxa"/>
            <w:vAlign w:val="bottom"/>
            <w:tcBorders>
              <w:top w:val="single" w:sz="8" w:color="auto"/>
            </w:tcBorders>
          </w:tcPr>
          <w:p>
            <w:pPr>
              <w:jc w:val="right"/>
              <w:ind w:right="755"/>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9"/>
                <w:szCs w:val="19"/>
                <w:color w:val="auto"/>
              </w:rPr>
            </w:pPr>
          </w:p>
        </w:tc>
        <w:tc>
          <w:tcPr>
            <w:tcW w:w="2020" w:type="dxa"/>
            <w:vAlign w:val="bottom"/>
            <w:tcBorders>
              <w:top w:val="single" w:sz="8" w:color="auto"/>
            </w:tcBorders>
          </w:tcPr>
          <w:p>
            <w:pPr>
              <w:jc w:val="right"/>
              <w:ind w:right="775"/>
              <w:spacing w:after="0"/>
              <w:rPr>
                <w:sz w:val="20"/>
                <w:szCs w:val="20"/>
                <w:color w:val="auto"/>
              </w:rPr>
            </w:pPr>
            <w:r>
              <w:rPr>
                <w:rFonts w:ascii="Arial" w:cs="Arial" w:eastAsia="Arial" w:hAnsi="Arial"/>
                <w:sz w:val="17"/>
                <w:szCs w:val="17"/>
                <w:b w:val="1"/>
                <w:bCs w:val="1"/>
                <w:color w:val="auto"/>
              </w:rPr>
              <w:t>2023</w:t>
            </w:r>
          </w:p>
        </w:tc>
        <w:tc>
          <w:tcPr>
            <w:tcW w:w="2040" w:type="dxa"/>
            <w:vAlign w:val="bottom"/>
            <w:tcBorders>
              <w:top w:val="single" w:sz="8" w:color="auto"/>
            </w:tcBorders>
          </w:tcPr>
          <w:p>
            <w:pPr>
              <w:jc w:val="right"/>
              <w:ind w:right="735"/>
              <w:spacing w:after="0"/>
              <w:rPr>
                <w:sz w:val="20"/>
                <w:szCs w:val="20"/>
                <w:color w:val="auto"/>
              </w:rPr>
            </w:pPr>
            <w:r>
              <w:rPr>
                <w:rFonts w:ascii="Arial" w:cs="Arial" w:eastAsia="Arial" w:hAnsi="Arial"/>
                <w:sz w:val="17"/>
                <w:szCs w:val="17"/>
                <w:b w:val="1"/>
                <w:bCs w:val="1"/>
                <w:color w:val="auto"/>
              </w:rPr>
              <w:t>2022</w:t>
            </w:r>
          </w:p>
        </w:tc>
      </w:tr>
    </w:tbl>
    <w:p>
      <w:pPr>
        <w:spacing w:after="0" w:line="1" w:lineRule="exact"/>
        <w:rPr>
          <w:sz w:val="20"/>
          <w:szCs w:val="20"/>
          <w:color w:val="auto"/>
        </w:rPr>
      </w:pPr>
    </w:p>
    <w:p>
      <w:pPr>
        <w:sectPr>
          <w:pgSz w:w="11900" w:h="16838" w:orient="portrait"/>
          <w:cols w:equalWidth="0" w:num="1">
            <w:col w:w="11240"/>
          </w:cols>
          <w:pgMar w:left="320" w:top="1301" w:right="339" w:bottom="1440" w:gutter="0" w:footer="0" w:header="0"/>
        </w:sectPr>
      </w:pPr>
    </w:p>
    <w:p>
      <w:pPr>
        <w:ind w:left="20"/>
        <w:spacing w:after="0"/>
        <w:rPr>
          <w:sz w:val="20"/>
          <w:szCs w:val="20"/>
          <w:color w:val="auto"/>
        </w:rPr>
      </w:pPr>
      <w:r>
        <w:rPr>
          <w:rFonts w:ascii="Arial" w:cs="Arial" w:eastAsia="Arial" w:hAnsi="Arial"/>
          <w:sz w:val="17"/>
          <w:szCs w:val="17"/>
          <w:b w:val="1"/>
          <w:bCs w:val="1"/>
          <w:color w:val="auto"/>
        </w:rPr>
        <w:t>Reconciliation of GAAP to Non-</w:t>
      </w:r>
    </w:p>
    <w:p>
      <w:pPr>
        <w:ind w:left="20"/>
        <w:spacing w:after="0"/>
        <w:rPr>
          <w:sz w:val="20"/>
          <w:szCs w:val="20"/>
          <w:color w:val="auto"/>
        </w:rPr>
      </w:pPr>
      <w:r>
        <w:rPr>
          <w:rFonts w:ascii="Arial" w:cs="Arial" w:eastAsia="Arial" w:hAnsi="Arial"/>
          <w:sz w:val="17"/>
          <w:szCs w:val="17"/>
          <w:b w:val="1"/>
          <w:bCs w:val="1"/>
          <w:color w:val="auto"/>
        </w:rPr>
        <w:t>GAAP financial measures:</w:t>
      </w:r>
    </w:p>
    <w:p>
      <w:pPr>
        <w:spacing w:after="0" w:line="17" w:lineRule="exact"/>
        <w:rPr>
          <w:sz w:val="20"/>
          <w:szCs w:val="20"/>
          <w:color w:val="auto"/>
        </w:rPr>
      </w:pPr>
    </w:p>
    <w:p>
      <w:pPr>
        <w:ind w:left="20"/>
        <w:spacing w:after="0" w:line="237" w:lineRule="auto"/>
        <w:rPr>
          <w:sz w:val="20"/>
          <w:szCs w:val="20"/>
          <w:color w:val="auto"/>
        </w:rPr>
      </w:pPr>
      <w:r>
        <w:rPr>
          <w:rFonts w:ascii="Arial" w:cs="Arial" w:eastAsia="Arial" w:hAnsi="Arial"/>
          <w:sz w:val="17"/>
          <w:szCs w:val="17"/>
          <w:b w:val="1"/>
          <w:bCs w:val="1"/>
          <w:color w:val="auto"/>
        </w:rPr>
        <w:t>Net income and Diluted earnings per common share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center"/>
              <w:spacing w:after="0" w:line="161" w:lineRule="exact"/>
              <w:rPr>
                <w:sz w:val="20"/>
                <w:szCs w:val="20"/>
                <w:color w:val="auto"/>
              </w:rPr>
            </w:pPr>
            <w:r>
              <w:rPr>
                <w:rFonts w:ascii="Arial" w:cs="Arial" w:eastAsia="Arial" w:hAnsi="Arial"/>
                <w:sz w:val="17"/>
                <w:szCs w:val="17"/>
                <w:color w:val="auto"/>
                <w:w w:val="91"/>
              </w:rPr>
              <w:t>Earnings per</w:t>
            </w:r>
          </w:p>
        </w:tc>
        <w:tc>
          <w:tcPr>
            <w:tcW w:w="1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center"/>
              <w:spacing w:after="0" w:line="161" w:lineRule="exact"/>
              <w:rPr>
                <w:sz w:val="20"/>
                <w:szCs w:val="20"/>
                <w:color w:val="auto"/>
              </w:rPr>
            </w:pPr>
            <w:r>
              <w:rPr>
                <w:rFonts w:ascii="Arial" w:cs="Arial" w:eastAsia="Arial" w:hAnsi="Arial"/>
                <w:sz w:val="17"/>
                <w:szCs w:val="17"/>
                <w:color w:val="auto"/>
                <w:w w:val="91"/>
              </w:rPr>
              <w:t>Earnings per</w:t>
            </w: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ind w:left="20"/>
              <w:spacing w:after="0" w:line="161" w:lineRule="exact"/>
              <w:rPr>
                <w:sz w:val="20"/>
                <w:szCs w:val="20"/>
                <w:color w:val="auto"/>
              </w:rPr>
            </w:pPr>
            <w:r>
              <w:rPr>
                <w:rFonts w:ascii="Arial" w:cs="Arial" w:eastAsia="Arial" w:hAnsi="Arial"/>
                <w:sz w:val="17"/>
                <w:szCs w:val="17"/>
                <w:color w:val="auto"/>
                <w:w w:val="91"/>
              </w:rPr>
              <w:t>Earnings per</w:t>
            </w:r>
          </w:p>
        </w:tc>
        <w:tc>
          <w:tcPr>
            <w:tcW w:w="1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ind w:left="20"/>
              <w:spacing w:after="0" w:line="161" w:lineRule="exact"/>
              <w:rPr>
                <w:sz w:val="20"/>
                <w:szCs w:val="20"/>
                <w:color w:val="auto"/>
              </w:rPr>
            </w:pPr>
            <w:r>
              <w:rPr>
                <w:rFonts w:ascii="Arial" w:cs="Arial" w:eastAsia="Arial" w:hAnsi="Arial"/>
                <w:sz w:val="17"/>
                <w:szCs w:val="17"/>
                <w:color w:val="auto"/>
                <w:w w:val="91"/>
              </w:rPr>
              <w:t>Earnings per</w:t>
            </w:r>
          </w:p>
        </w:tc>
      </w:tr>
      <w:tr>
        <w:trPr>
          <w:trHeight w:val="230"/>
        </w:trPr>
        <w:tc>
          <w:tcPr>
            <w:tcW w:w="1060" w:type="dxa"/>
            <w:vAlign w:val="bottom"/>
            <w:gridSpan w:val="3"/>
          </w:tcPr>
          <w:p>
            <w:pPr>
              <w:jc w:val="right"/>
              <w:ind w:right="180"/>
              <w:spacing w:after="0"/>
              <w:rPr>
                <w:sz w:val="20"/>
                <w:szCs w:val="20"/>
                <w:color w:val="auto"/>
              </w:rPr>
            </w:pPr>
            <w:r>
              <w:rPr>
                <w:rFonts w:ascii="Arial" w:cs="Arial" w:eastAsia="Arial" w:hAnsi="Arial"/>
                <w:sz w:val="17"/>
                <w:szCs w:val="17"/>
                <w:color w:val="auto"/>
                <w:w w:val="98"/>
              </w:rPr>
              <w:t>Net Income</w:t>
            </w:r>
          </w:p>
        </w:tc>
        <w:tc>
          <w:tcPr>
            <w:tcW w:w="200" w:type="dxa"/>
            <w:vAlign w:val="bottom"/>
          </w:tcPr>
          <w:p>
            <w:pPr>
              <w:spacing w:after="0"/>
              <w:rPr>
                <w:sz w:val="19"/>
                <w:szCs w:val="19"/>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7"/>
                <w:szCs w:val="17"/>
                <w:color w:val="auto"/>
                <w:w w:val="88"/>
              </w:rPr>
              <w:t>Share</w:t>
            </w:r>
          </w:p>
        </w:tc>
        <w:tc>
          <w:tcPr>
            <w:tcW w:w="1060" w:type="dxa"/>
            <w:vAlign w:val="bottom"/>
            <w:gridSpan w:val="3"/>
          </w:tcPr>
          <w:p>
            <w:pPr>
              <w:jc w:val="right"/>
              <w:ind w:right="180"/>
              <w:spacing w:after="0"/>
              <w:rPr>
                <w:sz w:val="20"/>
                <w:szCs w:val="20"/>
                <w:color w:val="auto"/>
              </w:rPr>
            </w:pPr>
            <w:r>
              <w:rPr>
                <w:rFonts w:ascii="Arial" w:cs="Arial" w:eastAsia="Arial" w:hAnsi="Arial"/>
                <w:sz w:val="17"/>
                <w:szCs w:val="17"/>
                <w:color w:val="auto"/>
                <w:w w:val="98"/>
              </w:rPr>
              <w:t>Net Income</w:t>
            </w:r>
          </w:p>
        </w:tc>
        <w:tc>
          <w:tcPr>
            <w:tcW w:w="200" w:type="dxa"/>
            <w:vAlign w:val="bottom"/>
          </w:tcPr>
          <w:p>
            <w:pPr>
              <w:spacing w:after="0"/>
              <w:rPr>
                <w:sz w:val="19"/>
                <w:szCs w:val="19"/>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7"/>
                <w:szCs w:val="17"/>
                <w:color w:val="auto"/>
                <w:w w:val="88"/>
              </w:rPr>
              <w:t>Share</w:t>
            </w:r>
          </w:p>
        </w:tc>
        <w:tc>
          <w:tcPr>
            <w:tcW w:w="1040" w:type="dxa"/>
            <w:vAlign w:val="bottom"/>
            <w:gridSpan w:val="3"/>
          </w:tcPr>
          <w:p>
            <w:pPr>
              <w:ind w:left="60"/>
              <w:spacing w:after="0"/>
              <w:rPr>
                <w:sz w:val="20"/>
                <w:szCs w:val="20"/>
                <w:color w:val="auto"/>
              </w:rPr>
            </w:pPr>
            <w:r>
              <w:rPr>
                <w:rFonts w:ascii="Arial" w:cs="Arial" w:eastAsia="Arial" w:hAnsi="Arial"/>
                <w:sz w:val="17"/>
                <w:szCs w:val="17"/>
                <w:color w:val="auto"/>
              </w:rPr>
              <w:t>Net Income</w:t>
            </w:r>
          </w:p>
        </w:tc>
        <w:tc>
          <w:tcPr>
            <w:tcW w:w="180" w:type="dxa"/>
            <w:vAlign w:val="bottom"/>
          </w:tcPr>
          <w:p>
            <w:pPr>
              <w:spacing w:after="0"/>
              <w:rPr>
                <w:sz w:val="19"/>
                <w:szCs w:val="19"/>
                <w:color w:val="auto"/>
              </w:rPr>
            </w:pPr>
          </w:p>
        </w:tc>
        <w:tc>
          <w:tcPr>
            <w:tcW w:w="860" w:type="dxa"/>
            <w:vAlign w:val="bottom"/>
            <w:gridSpan w:val="2"/>
          </w:tcPr>
          <w:p>
            <w:pPr>
              <w:ind w:left="80"/>
              <w:spacing w:after="0"/>
              <w:rPr>
                <w:sz w:val="20"/>
                <w:szCs w:val="20"/>
                <w:color w:val="auto"/>
              </w:rPr>
            </w:pPr>
            <w:r>
              <w:rPr>
                <w:rFonts w:ascii="Arial" w:cs="Arial" w:eastAsia="Arial" w:hAnsi="Arial"/>
                <w:sz w:val="17"/>
                <w:szCs w:val="17"/>
                <w:color w:val="auto"/>
              </w:rPr>
              <w:t>Share</w:t>
            </w:r>
          </w:p>
        </w:tc>
        <w:tc>
          <w:tcPr>
            <w:tcW w:w="1060" w:type="dxa"/>
            <w:vAlign w:val="bottom"/>
            <w:gridSpan w:val="3"/>
          </w:tcPr>
          <w:p>
            <w:pPr>
              <w:ind w:left="60"/>
              <w:spacing w:after="0"/>
              <w:rPr>
                <w:sz w:val="20"/>
                <w:szCs w:val="20"/>
                <w:color w:val="auto"/>
              </w:rPr>
            </w:pPr>
            <w:r>
              <w:rPr>
                <w:rFonts w:ascii="Arial" w:cs="Arial" w:eastAsia="Arial" w:hAnsi="Arial"/>
                <w:sz w:val="17"/>
                <w:szCs w:val="17"/>
                <w:color w:val="auto"/>
              </w:rPr>
              <w:t>Net Income</w:t>
            </w:r>
          </w:p>
        </w:tc>
        <w:tc>
          <w:tcPr>
            <w:tcW w:w="180" w:type="dxa"/>
            <w:vAlign w:val="bottom"/>
          </w:tcPr>
          <w:p>
            <w:pPr>
              <w:spacing w:after="0"/>
              <w:rPr>
                <w:sz w:val="19"/>
                <w:szCs w:val="19"/>
                <w:color w:val="auto"/>
              </w:rPr>
            </w:pPr>
          </w:p>
        </w:tc>
        <w:tc>
          <w:tcPr>
            <w:tcW w:w="740" w:type="dxa"/>
            <w:vAlign w:val="bottom"/>
          </w:tcPr>
          <w:p>
            <w:pPr>
              <w:jc w:val="right"/>
              <w:ind w:right="175"/>
              <w:spacing w:after="0"/>
              <w:rPr>
                <w:sz w:val="20"/>
                <w:szCs w:val="20"/>
                <w:color w:val="auto"/>
              </w:rPr>
            </w:pPr>
            <w:r>
              <w:rPr>
                <w:rFonts w:ascii="Arial" w:cs="Arial" w:eastAsia="Arial" w:hAnsi="Arial"/>
                <w:sz w:val="17"/>
                <w:szCs w:val="17"/>
                <w:color w:val="auto"/>
              </w:rPr>
              <w:t>Share</w:t>
            </w:r>
          </w:p>
        </w:tc>
      </w:tr>
      <w:tr>
        <w:trPr>
          <w:trHeight w:val="376"/>
        </w:trPr>
        <w:tc>
          <w:tcPr>
            <w:tcW w:w="340" w:type="dxa"/>
            <w:vAlign w:val="bottom"/>
            <w:tcBorders>
              <w:top w:val="single" w:sz="8" w:color="auto"/>
            </w:tcBorders>
          </w:tcPr>
          <w:p>
            <w:pPr>
              <w:jc w:val="right"/>
              <w:ind w:right="155"/>
              <w:spacing w:after="0"/>
              <w:rPr>
                <w:sz w:val="20"/>
                <w:szCs w:val="20"/>
                <w:color w:val="auto"/>
              </w:rPr>
            </w:pPr>
            <w:r>
              <w:rPr>
                <w:rFonts w:ascii="Arial" w:cs="Arial" w:eastAsia="Arial" w:hAnsi="Arial"/>
                <w:sz w:val="17"/>
                <w:szCs w:val="17"/>
                <w:b w:val="1"/>
                <w:bCs w:val="1"/>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34.9</w:t>
            </w:r>
          </w:p>
        </w:tc>
        <w:tc>
          <w:tcPr>
            <w:tcW w:w="120" w:type="dxa"/>
            <w:vAlign w:val="bottom"/>
          </w:tcPr>
          <w:p>
            <w:pPr>
              <w:spacing w:after="0"/>
              <w:rPr>
                <w:sz w:val="24"/>
                <w:szCs w:val="24"/>
                <w:color w:val="auto"/>
              </w:rPr>
            </w:pPr>
          </w:p>
        </w:tc>
        <w:tc>
          <w:tcPr>
            <w:tcW w:w="2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b w:val="1"/>
                <w:bCs w:val="1"/>
                <w:color w:val="auto"/>
                <w:w w:val="84"/>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0.58</w:t>
            </w:r>
          </w:p>
        </w:tc>
        <w:tc>
          <w:tcPr>
            <w:tcW w:w="120" w:type="dxa"/>
            <w:vAlign w:val="bottom"/>
          </w:tcPr>
          <w:p>
            <w:pPr>
              <w:spacing w:after="0"/>
              <w:rPr>
                <w:sz w:val="24"/>
                <w:szCs w:val="24"/>
                <w:color w:val="auto"/>
              </w:rPr>
            </w:pPr>
          </w:p>
        </w:tc>
        <w:tc>
          <w:tcPr>
            <w:tcW w:w="340" w:type="dxa"/>
            <w:vAlign w:val="bottom"/>
            <w:tcBorders>
              <w:top w:val="single" w:sz="8" w:color="auto"/>
            </w:tcBorders>
          </w:tcPr>
          <w:p>
            <w:pPr>
              <w:jc w:val="right"/>
              <w:ind w:right="155"/>
              <w:spacing w:after="0"/>
              <w:rPr>
                <w:sz w:val="20"/>
                <w:szCs w:val="20"/>
                <w:color w:val="auto"/>
              </w:rPr>
            </w:pPr>
            <w:r>
              <w:rPr>
                <w:rFonts w:ascii="Arial" w:cs="Arial" w:eastAsia="Arial" w:hAnsi="Arial"/>
                <w:sz w:val="17"/>
                <w:szCs w:val="17"/>
                <w:b w:val="1"/>
                <w:bCs w:val="1"/>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42.5</w:t>
            </w:r>
          </w:p>
        </w:tc>
        <w:tc>
          <w:tcPr>
            <w:tcW w:w="120" w:type="dxa"/>
            <w:vAlign w:val="bottom"/>
          </w:tcPr>
          <w:p>
            <w:pPr>
              <w:spacing w:after="0"/>
              <w:rPr>
                <w:sz w:val="24"/>
                <w:szCs w:val="24"/>
                <w:color w:val="auto"/>
              </w:rPr>
            </w:pPr>
          </w:p>
        </w:tc>
        <w:tc>
          <w:tcPr>
            <w:tcW w:w="2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b w:val="1"/>
                <w:bCs w:val="1"/>
                <w:color w:val="auto"/>
                <w:w w:val="84"/>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0.68</w:t>
            </w:r>
          </w:p>
        </w:tc>
        <w:tc>
          <w:tcPr>
            <w:tcW w:w="120" w:type="dxa"/>
            <w:vAlign w:val="bottom"/>
          </w:tcPr>
          <w:p>
            <w:pPr>
              <w:spacing w:after="0"/>
              <w:rPr>
                <w:sz w:val="24"/>
                <w:szCs w:val="24"/>
                <w:color w:val="auto"/>
              </w:rPr>
            </w:pPr>
          </w:p>
        </w:tc>
        <w:tc>
          <w:tcPr>
            <w:tcW w:w="32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b w:val="1"/>
                <w:bCs w:val="1"/>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87.7</w:t>
            </w:r>
          </w:p>
        </w:tc>
        <w:tc>
          <w:tcPr>
            <w:tcW w:w="140" w:type="dxa"/>
            <w:vAlign w:val="bottom"/>
          </w:tcPr>
          <w:p>
            <w:pPr>
              <w:spacing w:after="0"/>
              <w:rPr>
                <w:sz w:val="24"/>
                <w:szCs w:val="24"/>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1.41</w:t>
            </w:r>
          </w:p>
        </w:tc>
        <w:tc>
          <w:tcPr>
            <w:tcW w:w="120" w:type="dxa"/>
            <w:vAlign w:val="bottom"/>
          </w:tcPr>
          <w:p>
            <w:pPr>
              <w:spacing w:after="0"/>
              <w:rPr>
                <w:sz w:val="24"/>
                <w:szCs w:val="24"/>
                <w:color w:val="auto"/>
              </w:rPr>
            </w:pPr>
          </w:p>
        </w:tc>
        <w:tc>
          <w:tcPr>
            <w:tcW w:w="34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93.2</w:t>
            </w:r>
          </w:p>
        </w:tc>
        <w:tc>
          <w:tcPr>
            <w:tcW w:w="140" w:type="dxa"/>
            <w:vAlign w:val="bottom"/>
          </w:tcPr>
          <w:p>
            <w:pPr>
              <w:spacing w:after="0"/>
              <w:rPr>
                <w:sz w:val="24"/>
                <w:szCs w:val="24"/>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-1826895</wp:posOffset>
            </wp:positionH>
            <wp:positionV relativeFrom="paragraph">
              <wp:posOffset>-250825</wp:posOffset>
            </wp:positionV>
            <wp:extent cx="7123430" cy="2520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25209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700" w:space="180"/>
            <w:col w:w="8360"/>
          </w:cols>
          <w:pgMar w:left="320" w:top="1301" w:right="33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880" w:type="dxa"/>
            <w:vAlign w:val="bottom"/>
          </w:tcPr>
          <w:p>
            <w:pPr>
              <w:ind w:left="120"/>
              <w:spacing w:after="0" w:line="168" w:lineRule="exact"/>
              <w:rPr>
                <w:sz w:val="20"/>
                <w:szCs w:val="20"/>
                <w:color w:val="auto"/>
              </w:rPr>
            </w:pPr>
            <w:r>
              <w:rPr>
                <w:rFonts w:ascii="Arial" w:cs="Arial" w:eastAsia="Arial" w:hAnsi="Arial"/>
                <w:sz w:val="17"/>
                <w:szCs w:val="17"/>
                <w:color w:val="auto"/>
              </w:rPr>
              <w:t>Acquisition and divestiture related</w:t>
            </w: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120"/>
              <w:spacing w:after="0"/>
              <w:rPr>
                <w:sz w:val="20"/>
                <w:szCs w:val="20"/>
                <w:color w:val="auto"/>
              </w:rPr>
            </w:pPr>
            <w:r>
              <w:rPr>
                <w:rFonts w:ascii="Arial" w:cs="Arial" w:eastAsia="Arial" w:hAnsi="Arial"/>
                <w:sz w:val="17"/>
                <w:szCs w:val="17"/>
                <w:color w:val="auto"/>
              </w:rPr>
              <w:t>expenses</w:t>
            </w:r>
          </w:p>
        </w:tc>
        <w:tc>
          <w:tcPr>
            <w:tcW w:w="4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0.5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0.01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Arial" w:cs="Arial" w:eastAsia="Arial" w:hAnsi="Arial"/>
                <w:sz w:val="17"/>
                <w:szCs w:val="17"/>
                <w:color w:val="auto"/>
              </w:rPr>
              <w:t>0.6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8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Loss (gain) on sale of business</w:t>
            </w: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1"/>
              </w:rPr>
              <w:t>(0.6)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(0.01)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80" w:type="dxa"/>
            <w:vAlign w:val="bottom"/>
          </w:tcPr>
          <w:p>
            <w:pPr>
              <w:ind w:left="120"/>
              <w:spacing w:after="0"/>
              <w:rPr>
                <w:sz w:val="20"/>
                <w:szCs w:val="20"/>
                <w:color w:val="auto"/>
              </w:rPr>
            </w:pPr>
            <w:r>
              <w:rPr>
                <w:rFonts w:ascii="Arial" w:cs="Arial" w:eastAsia="Arial" w:hAnsi="Arial"/>
                <w:sz w:val="17"/>
                <w:szCs w:val="17"/>
                <w:color w:val="auto"/>
              </w:rPr>
              <w:t>Asset impairments</w:t>
            </w:r>
          </w:p>
        </w:tc>
        <w:tc>
          <w:tcPr>
            <w:tcW w:w="4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0.3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0.01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28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Integration costs</w:t>
            </w: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80" w:type="dxa"/>
            <w:vAlign w:val="bottom"/>
          </w:tcPr>
          <w:p>
            <w:pPr>
              <w:ind w:left="120"/>
              <w:spacing w:after="0"/>
              <w:rPr>
                <w:sz w:val="20"/>
                <w:szCs w:val="20"/>
                <w:color w:val="auto"/>
              </w:rPr>
            </w:pPr>
            <w:r>
              <w:rPr>
                <w:rFonts w:ascii="Arial" w:cs="Arial" w:eastAsia="Arial" w:hAnsi="Arial"/>
                <w:sz w:val="17"/>
                <w:szCs w:val="17"/>
                <w:color w:val="auto"/>
              </w:rPr>
              <w:t>Restructuring charges</w:t>
            </w:r>
          </w:p>
        </w:tc>
        <w:tc>
          <w:tcPr>
            <w:tcW w:w="4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(0.8)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7"/>
                <w:szCs w:val="17"/>
                <w:color w:val="auto"/>
                <w:w w:val="85"/>
              </w:rPr>
              <w:t>(0.8)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8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Loss on debt extinguishment</w:t>
            </w: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Income tax impacts</w:t>
            </w:r>
          </w:p>
        </w:tc>
        <w:tc>
          <w:tcPr>
            <w:tcW w:w="4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w w:val="85"/>
              </w:rPr>
              <w:t>(0.5)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880" w:type="dxa"/>
            <w:vAlign w:val="bottom"/>
            <w:shd w:val="clear" w:color="auto" w:fill="CCEEFF"/>
          </w:tcPr>
          <w:p>
            <w:pPr>
              <w:ind w:left="20"/>
              <w:spacing w:after="0" w:line="147" w:lineRule="exact"/>
              <w:rPr>
                <w:sz w:val="20"/>
                <w:szCs w:val="20"/>
                <w:color w:val="auto"/>
              </w:rPr>
            </w:pPr>
            <w:r>
              <w:rPr>
                <w:rFonts w:ascii="Arial" w:cs="Arial" w:eastAsia="Arial" w:hAnsi="Arial"/>
                <w:sz w:val="17"/>
                <w:szCs w:val="17"/>
                <w:b w:val="1"/>
                <w:bCs w:val="1"/>
                <w:color w:val="auto"/>
              </w:rPr>
              <w:t>Adjusted net income and Adjusted</w:t>
            </w:r>
          </w:p>
        </w:tc>
        <w:tc>
          <w:tcPr>
            <w:tcW w:w="480" w:type="dxa"/>
            <w:vAlign w:val="bottom"/>
            <w:vMerge w:val="restart"/>
            <w:shd w:val="clear" w:color="auto" w:fill="CCEEFF"/>
          </w:tcPr>
          <w:p>
            <w:pPr>
              <w:jc w:val="right"/>
              <w:ind w:right="295"/>
              <w:spacing w:after="0"/>
              <w:rPr>
                <w:sz w:val="20"/>
                <w:szCs w:val="20"/>
                <w:color w:val="auto"/>
              </w:rPr>
            </w:pPr>
            <w:r>
              <w:rPr>
                <w:rFonts w:ascii="Arial" w:cs="Arial" w:eastAsia="Arial" w:hAnsi="Arial"/>
                <w:sz w:val="17"/>
                <w:szCs w:val="17"/>
                <w:b w:val="1"/>
                <w:bCs w:val="1"/>
                <w:color w:val="auto"/>
                <w:w w:val="84"/>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34.9</w:t>
            </w:r>
          </w:p>
        </w:tc>
        <w:tc>
          <w:tcPr>
            <w:tcW w:w="12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ind w:right="295"/>
              <w:spacing w:after="0"/>
              <w:rPr>
                <w:sz w:val="20"/>
                <w:szCs w:val="20"/>
                <w:color w:val="auto"/>
              </w:rPr>
            </w:pPr>
            <w:r>
              <w:rPr>
                <w:rFonts w:ascii="Arial" w:cs="Arial" w:eastAsia="Arial" w:hAnsi="Arial"/>
                <w:sz w:val="17"/>
                <w:szCs w:val="17"/>
                <w:b w:val="1"/>
                <w:bCs w:val="1"/>
                <w:color w:val="auto"/>
                <w:w w:val="84"/>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0.58</w:t>
            </w:r>
          </w:p>
        </w:tc>
        <w:tc>
          <w:tcPr>
            <w:tcW w:w="12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55"/>
              <w:spacing w:after="0"/>
              <w:rPr>
                <w:sz w:val="20"/>
                <w:szCs w:val="20"/>
                <w:color w:val="auto"/>
              </w:rPr>
            </w:pPr>
            <w:r>
              <w:rPr>
                <w:rFonts w:ascii="Arial" w:cs="Arial" w:eastAsia="Arial" w:hAnsi="Arial"/>
                <w:sz w:val="17"/>
                <w:szCs w:val="17"/>
                <w:b w:val="1"/>
                <w:bCs w:val="1"/>
                <w:color w:val="auto"/>
                <w:w w:val="84"/>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41.8</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0.67</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center"/>
              <w:spacing w:after="0"/>
              <w:rPr>
                <w:sz w:val="20"/>
                <w:szCs w:val="20"/>
                <w:color w:val="auto"/>
              </w:rPr>
            </w:pPr>
            <w:r>
              <w:rPr>
                <w:rFonts w:ascii="Arial" w:cs="Arial" w:eastAsia="Arial" w:hAnsi="Arial"/>
                <w:sz w:val="17"/>
                <w:szCs w:val="17"/>
                <w:b w:val="1"/>
                <w:bCs w:val="1"/>
                <w:color w:val="auto"/>
                <w:w w:val="84"/>
              </w:rPr>
              <w:t>$</w:t>
            </w:r>
          </w:p>
        </w:tc>
        <w:tc>
          <w:tcPr>
            <w:tcW w:w="28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87.8</w:t>
            </w:r>
          </w:p>
        </w:tc>
        <w:tc>
          <w:tcPr>
            <w:tcW w:w="140" w:type="dxa"/>
            <w:vAlign w:val="bottom"/>
            <w:vMerge w:val="restart"/>
            <w:shd w:val="clear" w:color="auto" w:fill="CCEEFF"/>
          </w:tcPr>
          <w:p>
            <w:pPr>
              <w:spacing w:after="0"/>
              <w:rPr>
                <w:sz w:val="12"/>
                <w:szCs w:val="12"/>
                <w:color w:val="auto"/>
              </w:rPr>
            </w:pPr>
          </w:p>
        </w:tc>
        <w:tc>
          <w:tcPr>
            <w:tcW w:w="300" w:type="dxa"/>
            <w:vAlign w:val="bottom"/>
            <w:vMerge w:val="restart"/>
            <w:shd w:val="clear" w:color="auto" w:fill="CCEEFF"/>
          </w:tcPr>
          <w:p>
            <w:pPr>
              <w:jc w:val="right"/>
              <w:ind w:right="115"/>
              <w:spacing w:after="0"/>
              <w:rPr>
                <w:sz w:val="20"/>
                <w:szCs w:val="20"/>
                <w:color w:val="auto"/>
              </w:rPr>
            </w:pPr>
            <w:r>
              <w:rPr>
                <w:rFonts w:ascii="Arial" w:cs="Arial" w:eastAsia="Arial" w:hAnsi="Arial"/>
                <w:sz w:val="17"/>
                <w:szCs w:val="17"/>
                <w:b w:val="1"/>
                <w:bCs w:val="1"/>
                <w:color w:val="auto"/>
                <w:w w:val="84"/>
              </w:rPr>
              <w:t>$</w:t>
            </w:r>
          </w:p>
        </w:tc>
        <w:tc>
          <w:tcPr>
            <w:tcW w:w="14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1.41</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80" w:type="dxa"/>
            <w:vAlign w:val="bottom"/>
            <w:gridSpan w:val="4"/>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94.5</w:t>
            </w:r>
          </w:p>
        </w:tc>
        <w:tc>
          <w:tcPr>
            <w:tcW w:w="14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w w:val="98"/>
              </w:rPr>
              <w:t>diluted earnings per common share</w:t>
            </w:r>
          </w:p>
        </w:tc>
        <w:tc>
          <w:tcPr>
            <w:tcW w:w="480" w:type="dxa"/>
            <w:vAlign w:val="bottom"/>
            <w:tcBorders>
              <w:bottom w:val="single" w:sz="8" w:color="auto"/>
            </w:tcBorders>
            <w:vMerge w:val="continue"/>
            <w:shd w:val="clear" w:color="auto" w:fill="CCEEFF"/>
          </w:tcPr>
          <w:p>
            <w:pPr>
              <w:spacing w:after="0"/>
              <w:rPr>
                <w:sz w:val="19"/>
                <w:szCs w:val="19"/>
                <w:color w:val="auto"/>
              </w:rPr>
            </w:pP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vMerge w:val="continue"/>
            <w:shd w:val="clear" w:color="auto" w:fill="CCEEFF"/>
          </w:tcPr>
          <w:p>
            <w:pPr>
              <w:spacing w:after="0"/>
              <w:rPr>
                <w:sz w:val="19"/>
                <w:szCs w:val="19"/>
                <w:color w:val="auto"/>
              </w:rPr>
            </w:pPr>
          </w:p>
        </w:tc>
        <w:tc>
          <w:tcPr>
            <w:tcW w:w="4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vMerge w:val="continue"/>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gridSpan w:val="4"/>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2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10"/>
          </w:tcPr>
          <w:p>
            <w:pPr>
              <w:jc w:val="center"/>
              <w:ind w:right="320"/>
              <w:spacing w:after="0"/>
              <w:rPr>
                <w:sz w:val="20"/>
                <w:szCs w:val="20"/>
                <w:color w:val="auto"/>
              </w:rPr>
            </w:pPr>
            <w:r>
              <w:rPr>
                <w:rFonts w:ascii="Arial" w:cs="Arial" w:eastAsia="Arial" w:hAnsi="Arial"/>
                <w:sz w:val="17"/>
                <w:szCs w:val="17"/>
                <w:b w:val="1"/>
                <w:bCs w:val="1"/>
                <w:color w:val="auto"/>
                <w:w w:val="91"/>
              </w:rPr>
              <w:t>For the Three Months Ended</w:t>
            </w:r>
          </w:p>
        </w:tc>
        <w:tc>
          <w:tcPr>
            <w:tcW w:w="2600" w:type="dxa"/>
            <w:vAlign w:val="bottom"/>
            <w:gridSpan w:val="11"/>
          </w:tcPr>
          <w:p>
            <w:pPr>
              <w:jc w:val="center"/>
              <w:spacing w:after="0"/>
              <w:rPr>
                <w:sz w:val="20"/>
                <w:szCs w:val="20"/>
                <w:color w:val="auto"/>
              </w:rPr>
            </w:pPr>
            <w:r>
              <w:rPr>
                <w:rFonts w:ascii="Arial" w:cs="Arial" w:eastAsia="Arial" w:hAnsi="Arial"/>
                <w:sz w:val="17"/>
                <w:szCs w:val="17"/>
                <w:b w:val="1"/>
                <w:bCs w:val="1"/>
                <w:color w:val="auto"/>
                <w:w w:val="92"/>
              </w:rPr>
              <w:t>For the Nine Months Ended</w:t>
            </w:r>
          </w:p>
        </w:tc>
        <w:tc>
          <w:tcPr>
            <w:tcW w:w="0" w:type="dxa"/>
            <w:vAlign w:val="bottom"/>
          </w:tcPr>
          <w:p>
            <w:pPr>
              <w:spacing w:after="0"/>
              <w:rPr>
                <w:sz w:val="1"/>
                <w:szCs w:val="1"/>
                <w:color w:val="auto"/>
              </w:rPr>
            </w:pPr>
          </w:p>
        </w:tc>
      </w:tr>
      <w:tr>
        <w:trPr>
          <w:trHeight w:val="225"/>
        </w:trPr>
        <w:tc>
          <w:tcPr>
            <w:tcW w:w="2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6"/>
          </w:tcPr>
          <w:p>
            <w:pPr>
              <w:jc w:val="center"/>
              <w:spacing w:after="0"/>
              <w:rPr>
                <w:sz w:val="20"/>
                <w:szCs w:val="20"/>
                <w:color w:val="auto"/>
              </w:rPr>
            </w:pPr>
            <w:r>
              <w:rPr>
                <w:rFonts w:ascii="Arial" w:cs="Arial" w:eastAsia="Arial" w:hAnsi="Arial"/>
                <w:sz w:val="17"/>
                <w:szCs w:val="17"/>
                <w:b w:val="1"/>
                <w:bCs w:val="1"/>
                <w:color w:val="auto"/>
                <w:w w:val="89"/>
              </w:rPr>
              <w:t>September 30,</w:t>
            </w: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8"/>
          </w:tcPr>
          <w:p>
            <w:pPr>
              <w:jc w:val="center"/>
              <w:ind w:right="740"/>
              <w:spacing w:after="0"/>
              <w:rPr>
                <w:sz w:val="20"/>
                <w:szCs w:val="20"/>
                <w:color w:val="auto"/>
              </w:rPr>
            </w:pPr>
            <w:r>
              <w:rPr>
                <w:rFonts w:ascii="Arial" w:cs="Arial" w:eastAsia="Arial" w:hAnsi="Arial"/>
                <w:sz w:val="17"/>
                <w:szCs w:val="17"/>
                <w:b w:val="1"/>
                <w:bCs w:val="1"/>
                <w:color w:val="auto"/>
                <w:w w:val="89"/>
              </w:rPr>
              <w:t>September 30,</w:t>
            </w:r>
          </w:p>
        </w:tc>
        <w:tc>
          <w:tcPr>
            <w:tcW w:w="0" w:type="dxa"/>
            <w:vAlign w:val="bottom"/>
          </w:tcPr>
          <w:p>
            <w:pPr>
              <w:spacing w:after="0"/>
              <w:rPr>
                <w:sz w:val="1"/>
                <w:szCs w:val="1"/>
                <w:color w:val="auto"/>
              </w:rPr>
            </w:pPr>
          </w:p>
        </w:tc>
      </w:tr>
      <w:tr>
        <w:trPr>
          <w:trHeight w:val="228"/>
        </w:trPr>
        <w:tc>
          <w:tcPr>
            <w:tcW w:w="4420" w:type="dxa"/>
            <w:vAlign w:val="bottom"/>
            <w:tcBorders>
              <w:bottom w:val="single" w:sz="8" w:color="CCEEFF"/>
            </w:tcBorders>
            <w:gridSpan w:val="5"/>
          </w:tcPr>
          <w:p>
            <w:pPr>
              <w:ind w:left="20"/>
              <w:spacing w:after="0"/>
              <w:rPr>
                <w:sz w:val="20"/>
                <w:szCs w:val="20"/>
                <w:color w:val="auto"/>
              </w:rPr>
            </w:pPr>
            <w:r>
              <w:rPr>
                <w:rFonts w:ascii="Arial" w:cs="Arial" w:eastAsia="Arial" w:hAnsi="Arial"/>
                <w:sz w:val="17"/>
                <w:szCs w:val="17"/>
                <w:b w:val="1"/>
                <w:bCs w:val="1"/>
                <w:color w:val="auto"/>
                <w:w w:val="93"/>
              </w:rPr>
              <w:t>Reconciliation of GAAP to Non-GAAP financial measures:</w:t>
            </w:r>
          </w:p>
        </w:tc>
        <w:tc>
          <w:tcPr>
            <w:tcW w:w="4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180"/>
              <w:spacing w:after="0"/>
              <w:rPr>
                <w:sz w:val="20"/>
                <w:szCs w:val="20"/>
                <w:color w:val="auto"/>
              </w:rPr>
            </w:pPr>
            <w:r>
              <w:rPr>
                <w:rFonts w:ascii="Arial" w:cs="Arial" w:eastAsia="Arial" w:hAnsi="Arial"/>
                <w:sz w:val="17"/>
                <w:szCs w:val="17"/>
                <w:b w:val="1"/>
                <w:bCs w:val="1"/>
                <w:color w:val="auto"/>
                <w:w w:val="84"/>
              </w:rPr>
              <w:t>2022</w:t>
            </w: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gridSpan w:val="4"/>
          </w:tcPr>
          <w:p>
            <w:pPr>
              <w:jc w:val="right"/>
              <w:ind w:right="315"/>
              <w:spacing w:after="0"/>
              <w:rPr>
                <w:sz w:val="20"/>
                <w:szCs w:val="20"/>
                <w:color w:val="auto"/>
              </w:rPr>
            </w:pPr>
            <w:r>
              <w:rPr>
                <w:rFonts w:ascii="Arial" w:cs="Arial" w:eastAsia="Arial" w:hAnsi="Arial"/>
                <w:sz w:val="17"/>
                <w:szCs w:val="17"/>
                <w:b w:val="1"/>
                <w:bCs w:val="1"/>
                <w:color w:val="auto"/>
              </w:rPr>
              <w:t>2023</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w w:val="95"/>
              </w:rPr>
              <w:t>2022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940" w:type="dxa"/>
            <w:vAlign w:val="bottom"/>
            <w:gridSpan w:val="4"/>
            <w:shd w:val="clear" w:color="auto" w:fill="CCEEFF"/>
          </w:tcPr>
          <w:p>
            <w:pPr>
              <w:ind w:left="20"/>
              <w:spacing w:after="0"/>
              <w:rPr>
                <w:sz w:val="20"/>
                <w:szCs w:val="20"/>
                <w:color w:val="auto"/>
              </w:rPr>
            </w:pPr>
            <w:r>
              <w:rPr>
                <w:rFonts w:ascii="Arial" w:cs="Arial" w:eastAsia="Arial" w:hAnsi="Arial"/>
                <w:sz w:val="17"/>
                <w:szCs w:val="17"/>
                <w:b w:val="1"/>
                <w:bCs w:val="1"/>
                <w:color w:val="auto"/>
                <w:w w:val="94"/>
              </w:rPr>
              <w:t>Net income (loss) including noncontrolling interest</w:t>
            </w: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w w:val="84"/>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35.5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b w:val="1"/>
                <w:bCs w:val="1"/>
                <w:color w:val="auto"/>
                <w:w w:val="84"/>
              </w:rPr>
              <w:t>$</w:t>
            </w: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43.9</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5"/>
              <w:spacing w:after="0"/>
              <w:rPr>
                <w:sz w:val="20"/>
                <w:szCs w:val="20"/>
                <w:color w:val="auto"/>
              </w:rPr>
            </w:pPr>
            <w:r>
              <w:rPr>
                <w:rFonts w:ascii="Arial" w:cs="Arial" w:eastAsia="Arial" w:hAnsi="Arial"/>
                <w:sz w:val="17"/>
                <w:szCs w:val="17"/>
                <w:b w:val="1"/>
                <w:bCs w:val="1"/>
                <w:color w:val="auto"/>
                <w:w w:val="84"/>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88.5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95.0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60" w:type="dxa"/>
            <w:vAlign w:val="bottom"/>
            <w:gridSpan w:val="2"/>
          </w:tcPr>
          <w:p>
            <w:pPr>
              <w:ind w:left="120"/>
              <w:spacing w:after="0"/>
              <w:rPr>
                <w:sz w:val="20"/>
                <w:szCs w:val="20"/>
                <w:color w:val="auto"/>
              </w:rPr>
            </w:pPr>
            <w:r>
              <w:rPr>
                <w:rFonts w:ascii="Arial" w:cs="Arial" w:eastAsia="Arial" w:hAnsi="Arial"/>
                <w:sz w:val="17"/>
                <w:szCs w:val="17"/>
                <w:color w:val="auto"/>
                <w:w w:val="91"/>
              </w:rPr>
              <w:t>Interest expense and other financing costs, net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28.6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34.0</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95.4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8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Provision (benefit) for income taxes</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Depreciation and amortization</w:t>
            </w:r>
          </w:p>
        </w:tc>
        <w:tc>
          <w:tcPr>
            <w:tcW w:w="48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26.1</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26.6</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77.8</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EBITDA</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101.0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123.4</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286.5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60" w:type="dxa"/>
            <w:vAlign w:val="bottom"/>
            <w:gridSpan w:val="2"/>
          </w:tcPr>
          <w:p>
            <w:pPr>
              <w:ind w:left="120"/>
              <w:spacing w:after="0"/>
              <w:rPr>
                <w:sz w:val="20"/>
                <w:szCs w:val="20"/>
                <w:color w:val="auto"/>
              </w:rPr>
            </w:pPr>
            <w:r>
              <w:rPr>
                <w:rFonts w:ascii="Arial" w:cs="Arial" w:eastAsia="Arial" w:hAnsi="Arial"/>
                <w:sz w:val="17"/>
                <w:szCs w:val="17"/>
                <w:color w:val="auto"/>
                <w:w w:val="97"/>
              </w:rPr>
              <w:t>Acquisition and divestiture related expenses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0.5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8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Loss (gain) on sale of business</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2880" w:type="dxa"/>
            <w:vAlign w:val="bottom"/>
          </w:tcPr>
          <w:p>
            <w:pPr>
              <w:ind w:left="120"/>
              <w:spacing w:after="0"/>
              <w:rPr>
                <w:sz w:val="20"/>
                <w:szCs w:val="20"/>
                <w:color w:val="auto"/>
              </w:rPr>
            </w:pPr>
            <w:r>
              <w:rPr>
                <w:rFonts w:ascii="Arial" w:cs="Arial" w:eastAsia="Arial" w:hAnsi="Arial"/>
                <w:sz w:val="17"/>
                <w:szCs w:val="17"/>
                <w:color w:val="auto"/>
              </w:rPr>
              <w:t>Asset impairments</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0.3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28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Integration costs</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80" w:type="dxa"/>
            <w:vAlign w:val="bottom"/>
          </w:tcPr>
          <w:p>
            <w:pPr>
              <w:ind w:left="120"/>
              <w:spacing w:after="0"/>
              <w:rPr>
                <w:sz w:val="20"/>
                <w:szCs w:val="20"/>
                <w:color w:val="auto"/>
              </w:rPr>
            </w:pPr>
            <w:r>
              <w:rPr>
                <w:rFonts w:ascii="Arial" w:cs="Arial" w:eastAsia="Arial" w:hAnsi="Arial"/>
                <w:sz w:val="17"/>
                <w:szCs w:val="17"/>
                <w:color w:val="auto"/>
              </w:rPr>
              <w:t>Restructuring charges</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(0.8)</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36"/>
        </w:trPr>
        <w:tc>
          <w:tcPr>
            <w:tcW w:w="2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Adjusted EBITDA</w:t>
            </w:r>
          </w:p>
        </w:tc>
        <w:tc>
          <w:tcPr>
            <w:tcW w:w="48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w w:val="84"/>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101.0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w w:val="84"/>
              </w:rPr>
              <w:t>$</w:t>
            </w:r>
          </w:p>
        </w:tc>
        <w:tc>
          <w:tcPr>
            <w:tcW w:w="520" w:type="dxa"/>
            <w:vAlign w:val="bottom"/>
            <w:tcBorders>
              <w:top w:val="single" w:sz="8" w:color="auto"/>
              <w:bottom w:val="single" w:sz="8" w:color="auto"/>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122.5</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95"/>
              <w:spacing w:after="0"/>
              <w:rPr>
                <w:sz w:val="20"/>
                <w:szCs w:val="20"/>
                <w:color w:val="auto"/>
              </w:rPr>
            </w:pPr>
            <w:r>
              <w:rPr>
                <w:rFonts w:ascii="Arial" w:cs="Arial" w:eastAsia="Arial" w:hAnsi="Arial"/>
                <w:sz w:val="17"/>
                <w:szCs w:val="17"/>
                <w:b w:val="1"/>
                <w:bCs w:val="1"/>
                <w:color w:val="auto"/>
                <w:w w:val="8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3"/>
              </w:rPr>
              <w:t>286.7</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273.8</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240" w:type="dxa"/>
            <w:vAlign w:val="bottom"/>
            <w:tcBorders>
              <w:top w:val="single" w:sz="8" w:color="CCEEFF"/>
              <w:bottom w:val="single" w:sz="8" w:color="auto"/>
            </w:tcBorders>
            <w:gridSpan w:val="4"/>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5"/>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2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10"/>
          </w:tcPr>
          <w:p>
            <w:pPr>
              <w:jc w:val="center"/>
              <w:ind w:right="320"/>
              <w:spacing w:after="0"/>
              <w:rPr>
                <w:sz w:val="20"/>
                <w:szCs w:val="20"/>
                <w:color w:val="auto"/>
              </w:rPr>
            </w:pPr>
            <w:r>
              <w:rPr>
                <w:rFonts w:ascii="Arial" w:cs="Arial" w:eastAsia="Arial" w:hAnsi="Arial"/>
                <w:sz w:val="17"/>
                <w:szCs w:val="17"/>
                <w:b w:val="1"/>
                <w:bCs w:val="1"/>
                <w:color w:val="auto"/>
                <w:w w:val="91"/>
              </w:rPr>
              <w:t>For the Three Months Ended</w:t>
            </w:r>
          </w:p>
        </w:tc>
        <w:tc>
          <w:tcPr>
            <w:tcW w:w="2600" w:type="dxa"/>
            <w:vAlign w:val="bottom"/>
            <w:gridSpan w:val="11"/>
          </w:tcPr>
          <w:p>
            <w:pPr>
              <w:jc w:val="center"/>
              <w:spacing w:after="0"/>
              <w:rPr>
                <w:sz w:val="20"/>
                <w:szCs w:val="20"/>
                <w:color w:val="auto"/>
              </w:rPr>
            </w:pPr>
            <w:r>
              <w:rPr>
                <w:rFonts w:ascii="Arial" w:cs="Arial" w:eastAsia="Arial" w:hAnsi="Arial"/>
                <w:sz w:val="17"/>
                <w:szCs w:val="17"/>
                <w:b w:val="1"/>
                <w:bCs w:val="1"/>
                <w:color w:val="auto"/>
                <w:w w:val="92"/>
              </w:rPr>
              <w:t>For the Nine Months Ended</w:t>
            </w:r>
          </w:p>
        </w:tc>
        <w:tc>
          <w:tcPr>
            <w:tcW w:w="0" w:type="dxa"/>
            <w:vAlign w:val="bottom"/>
          </w:tcPr>
          <w:p>
            <w:pPr>
              <w:spacing w:after="0"/>
              <w:rPr>
                <w:sz w:val="1"/>
                <w:szCs w:val="1"/>
                <w:color w:val="auto"/>
              </w:rPr>
            </w:pPr>
          </w:p>
        </w:tc>
      </w:tr>
      <w:tr>
        <w:trPr>
          <w:trHeight w:val="221"/>
        </w:trPr>
        <w:tc>
          <w:tcPr>
            <w:tcW w:w="2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6"/>
          </w:tcPr>
          <w:p>
            <w:pPr>
              <w:jc w:val="center"/>
              <w:spacing w:after="0"/>
              <w:rPr>
                <w:sz w:val="20"/>
                <w:szCs w:val="20"/>
                <w:color w:val="auto"/>
              </w:rPr>
            </w:pPr>
            <w:r>
              <w:rPr>
                <w:rFonts w:ascii="Arial" w:cs="Arial" w:eastAsia="Arial" w:hAnsi="Arial"/>
                <w:sz w:val="17"/>
                <w:szCs w:val="17"/>
                <w:b w:val="1"/>
                <w:bCs w:val="1"/>
                <w:color w:val="auto"/>
                <w:w w:val="89"/>
              </w:rPr>
              <w:t>September 30,</w:t>
            </w: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8"/>
          </w:tcPr>
          <w:p>
            <w:pPr>
              <w:jc w:val="center"/>
              <w:ind w:right="740"/>
              <w:spacing w:after="0"/>
              <w:rPr>
                <w:sz w:val="20"/>
                <w:szCs w:val="20"/>
                <w:color w:val="auto"/>
              </w:rPr>
            </w:pPr>
            <w:r>
              <w:rPr>
                <w:rFonts w:ascii="Arial" w:cs="Arial" w:eastAsia="Arial" w:hAnsi="Arial"/>
                <w:sz w:val="17"/>
                <w:szCs w:val="17"/>
                <w:b w:val="1"/>
                <w:bCs w:val="1"/>
                <w:color w:val="auto"/>
                <w:w w:val="89"/>
              </w:rPr>
              <w:t>September 30,</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CCEEFF"/>
            </w:tcBorders>
            <w:gridSpan w:val="5"/>
          </w:tcPr>
          <w:p>
            <w:pPr>
              <w:ind w:left="20"/>
              <w:spacing w:after="0"/>
              <w:rPr>
                <w:sz w:val="20"/>
                <w:szCs w:val="20"/>
                <w:color w:val="auto"/>
              </w:rPr>
            </w:pPr>
            <w:r>
              <w:rPr>
                <w:rFonts w:ascii="Arial" w:cs="Arial" w:eastAsia="Arial" w:hAnsi="Arial"/>
                <w:sz w:val="17"/>
                <w:szCs w:val="17"/>
                <w:b w:val="1"/>
                <w:bCs w:val="1"/>
                <w:color w:val="auto"/>
                <w:w w:val="93"/>
              </w:rPr>
              <w:t>Reconciliation of GAAP to Non-GAAP financial measures:</w:t>
            </w:r>
          </w:p>
        </w:tc>
        <w:tc>
          <w:tcPr>
            <w:tcW w:w="4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180"/>
              <w:spacing w:after="0"/>
              <w:rPr>
                <w:sz w:val="20"/>
                <w:szCs w:val="20"/>
                <w:color w:val="auto"/>
              </w:rPr>
            </w:pPr>
            <w:r>
              <w:rPr>
                <w:rFonts w:ascii="Arial" w:cs="Arial" w:eastAsia="Arial" w:hAnsi="Arial"/>
                <w:sz w:val="17"/>
                <w:szCs w:val="17"/>
                <w:b w:val="1"/>
                <w:bCs w:val="1"/>
                <w:color w:val="auto"/>
                <w:w w:val="84"/>
              </w:rPr>
              <w:t>2022</w:t>
            </w: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gridSpan w:val="4"/>
          </w:tcPr>
          <w:p>
            <w:pPr>
              <w:jc w:val="right"/>
              <w:ind w:right="315"/>
              <w:spacing w:after="0"/>
              <w:rPr>
                <w:sz w:val="20"/>
                <w:szCs w:val="20"/>
                <w:color w:val="auto"/>
              </w:rPr>
            </w:pPr>
            <w:r>
              <w:rPr>
                <w:rFonts w:ascii="Arial" w:cs="Arial" w:eastAsia="Arial" w:hAnsi="Arial"/>
                <w:sz w:val="17"/>
                <w:szCs w:val="17"/>
                <w:b w:val="1"/>
                <w:bCs w:val="1"/>
                <w:color w:val="auto"/>
              </w:rPr>
              <w:t>2023</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w w:val="95"/>
              </w:rPr>
              <w:t>2022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8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 from operations</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w w:val="84"/>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73.3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b w:val="1"/>
                <w:bCs w:val="1"/>
                <w:color w:val="auto"/>
                <w:w w:val="84"/>
              </w:rPr>
              <w:t>$</w:t>
            </w: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100.3</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5"/>
              <w:spacing w:after="0"/>
              <w:rPr>
                <w:sz w:val="20"/>
                <w:szCs w:val="20"/>
                <w:color w:val="auto"/>
              </w:rPr>
            </w:pPr>
            <w:r>
              <w:rPr>
                <w:rFonts w:ascii="Arial" w:cs="Arial" w:eastAsia="Arial" w:hAnsi="Arial"/>
                <w:sz w:val="17"/>
                <w:szCs w:val="17"/>
                <w:b w:val="1"/>
                <w:bCs w:val="1"/>
                <w:color w:val="auto"/>
                <w:w w:val="84"/>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3"/>
              </w:rPr>
              <w:t>213.3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194.4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60" w:type="dxa"/>
            <w:vAlign w:val="bottom"/>
            <w:gridSpan w:val="2"/>
          </w:tcPr>
          <w:p>
            <w:pPr>
              <w:ind w:left="120"/>
              <w:spacing w:after="0"/>
              <w:rPr>
                <w:sz w:val="20"/>
                <w:szCs w:val="20"/>
                <w:color w:val="auto"/>
              </w:rPr>
            </w:pPr>
            <w:r>
              <w:rPr>
                <w:rFonts w:ascii="Arial" w:cs="Arial" w:eastAsia="Arial" w:hAnsi="Arial"/>
                <w:sz w:val="17"/>
                <w:szCs w:val="17"/>
                <w:color w:val="auto"/>
                <w:w w:val="97"/>
              </w:rPr>
              <w:t>Acquisition and divestiture related expenses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0.5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8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Asset impairments</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2880" w:type="dxa"/>
            <w:vAlign w:val="bottom"/>
          </w:tcPr>
          <w:p>
            <w:pPr>
              <w:ind w:left="120"/>
              <w:spacing w:after="0"/>
              <w:rPr>
                <w:sz w:val="20"/>
                <w:szCs w:val="20"/>
                <w:color w:val="auto"/>
              </w:rPr>
            </w:pPr>
            <w:r>
              <w:rPr>
                <w:rFonts w:ascii="Arial" w:cs="Arial" w:eastAsia="Arial" w:hAnsi="Arial"/>
                <w:sz w:val="17"/>
                <w:szCs w:val="17"/>
                <w:color w:val="auto"/>
              </w:rPr>
              <w:t>Integration costs</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8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Restructuring charges</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10"/>
        </w:trPr>
        <w:tc>
          <w:tcPr>
            <w:tcW w:w="2880" w:type="dxa"/>
            <w:vAlign w:val="bottom"/>
          </w:tcPr>
          <w:p>
            <w:pPr>
              <w:ind w:left="20"/>
              <w:spacing w:after="0"/>
              <w:rPr>
                <w:sz w:val="20"/>
                <w:szCs w:val="20"/>
                <w:color w:val="auto"/>
              </w:rPr>
            </w:pPr>
            <w:r>
              <w:rPr>
                <w:rFonts w:ascii="Arial" w:cs="Arial" w:eastAsia="Arial" w:hAnsi="Arial"/>
                <w:sz w:val="17"/>
                <w:szCs w:val="17"/>
                <w:b w:val="1"/>
                <w:bCs w:val="1"/>
                <w:color w:val="auto"/>
              </w:rPr>
              <w:t>Adjusted Income from Operations</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7"/>
                <w:szCs w:val="17"/>
                <w:b w:val="1"/>
                <w:bCs w:val="1"/>
                <w:color w:val="auto"/>
                <w:w w:val="84"/>
              </w:rPr>
              <w:t>$</w:t>
            </w: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7"/>
                <w:szCs w:val="17"/>
                <w:b w:val="1"/>
                <w:bCs w:val="1"/>
                <w:color w:val="auto"/>
              </w:rPr>
              <w:t>73.3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w w:val="84"/>
              </w:rPr>
              <w:t>$</w:t>
            </w:r>
          </w:p>
        </w:tc>
        <w:tc>
          <w:tcPr>
            <w:tcW w:w="5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99.5</w:t>
            </w:r>
          </w:p>
        </w:tc>
        <w:tc>
          <w:tcPr>
            <w:tcW w:w="14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w w:val="84"/>
              </w:rPr>
              <w:t>$</w:t>
            </w:r>
          </w:p>
        </w:tc>
        <w:tc>
          <w:tcPr>
            <w:tcW w:w="1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3"/>
              </w:rPr>
              <w:t>214.2</w:t>
            </w:r>
          </w:p>
        </w:tc>
        <w:tc>
          <w:tcPr>
            <w:tcW w:w="6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195.5</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240"/>
          </w:cols>
          <w:pgMar w:left="320" w:top="1301"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7"/>
          <w:szCs w:val="17"/>
          <w:b w:val="1"/>
          <w:bCs w:val="1"/>
          <w:color w:val="auto"/>
        </w:rPr>
        <w:t>WORLD KINECT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BUSINESS SEGMENTS INFORMATION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(Unaudited -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960" w:type="dxa"/>
            <w:vAlign w:val="bottom"/>
            <w:gridSpan w:val="5"/>
          </w:tcPr>
          <w:p>
            <w:pPr>
              <w:ind w:left="180"/>
              <w:spacing w:after="0"/>
              <w:rPr>
                <w:sz w:val="20"/>
                <w:szCs w:val="20"/>
                <w:color w:val="auto"/>
              </w:rPr>
            </w:pPr>
            <w:r>
              <w:rPr>
                <w:rFonts w:ascii="Arial" w:cs="Arial" w:eastAsia="Arial" w:hAnsi="Arial"/>
                <w:sz w:val="17"/>
                <w:szCs w:val="17"/>
                <w:b w:val="1"/>
                <w:bCs w:val="1"/>
                <w:color w:val="auto"/>
              </w:rPr>
              <w:t>For the Three Months Ended September 30,</w:t>
            </w:r>
          </w:p>
        </w:tc>
        <w:tc>
          <w:tcPr>
            <w:tcW w:w="260" w:type="dxa"/>
            <w:vAlign w:val="bottom"/>
          </w:tcPr>
          <w:p>
            <w:pPr>
              <w:spacing w:after="0"/>
              <w:rPr>
                <w:sz w:val="19"/>
                <w:szCs w:val="19"/>
                <w:color w:val="auto"/>
              </w:rPr>
            </w:pPr>
          </w:p>
        </w:tc>
        <w:tc>
          <w:tcPr>
            <w:tcW w:w="3700" w:type="dxa"/>
            <w:vAlign w:val="bottom"/>
            <w:gridSpan w:val="4"/>
          </w:tcPr>
          <w:p>
            <w:pPr>
              <w:jc w:val="right"/>
              <w:ind w:right="335"/>
              <w:spacing w:after="0"/>
              <w:rPr>
                <w:sz w:val="20"/>
                <w:szCs w:val="20"/>
                <w:color w:val="auto"/>
              </w:rPr>
            </w:pPr>
            <w:r>
              <w:rPr>
                <w:rFonts w:ascii="Arial" w:cs="Arial" w:eastAsia="Arial" w:hAnsi="Arial"/>
                <w:sz w:val="17"/>
                <w:szCs w:val="17"/>
                <w:b w:val="1"/>
                <w:bCs w:val="1"/>
                <w:color w:val="auto"/>
                <w:w w:val="95"/>
              </w:rPr>
              <w:t>For the Nine Months Ended September 30,</w:t>
            </w:r>
          </w:p>
        </w:tc>
        <w:tc>
          <w:tcPr>
            <w:tcW w:w="0" w:type="dxa"/>
            <w:vAlign w:val="bottom"/>
          </w:tcPr>
          <w:p>
            <w:pPr>
              <w:spacing w:after="0"/>
              <w:rPr>
                <w:sz w:val="1"/>
                <w:szCs w:val="1"/>
                <w:color w:val="auto"/>
              </w:rPr>
            </w:pPr>
          </w:p>
        </w:tc>
      </w:tr>
      <w:tr>
        <w:trPr>
          <w:trHeight w:val="212"/>
        </w:trPr>
        <w:tc>
          <w:tcPr>
            <w:tcW w:w="30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Revenue:</w:t>
            </w:r>
          </w:p>
        </w:tc>
        <w:tc>
          <w:tcPr>
            <w:tcW w:w="26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735"/>
              <w:spacing w:after="0"/>
              <w:rPr>
                <w:sz w:val="20"/>
                <w:szCs w:val="20"/>
                <w:color w:val="auto"/>
              </w:rPr>
            </w:pPr>
            <w:r>
              <w:rPr>
                <w:rFonts w:ascii="Arial" w:cs="Arial" w:eastAsia="Arial" w:hAnsi="Arial"/>
                <w:sz w:val="17"/>
                <w:szCs w:val="17"/>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735"/>
              <w:spacing w:after="0"/>
              <w:rPr>
                <w:sz w:val="20"/>
                <w:szCs w:val="20"/>
                <w:color w:val="auto"/>
              </w:rPr>
            </w:pPr>
            <w:r>
              <w:rPr>
                <w:rFonts w:ascii="Arial" w:cs="Arial" w:eastAsia="Arial" w:hAnsi="Arial"/>
                <w:sz w:val="17"/>
                <w:szCs w:val="17"/>
                <w:b w:val="1"/>
                <w:bCs w:val="1"/>
                <w:color w:val="auto"/>
              </w:rPr>
              <w:t>2022</w:t>
            </w:r>
          </w:p>
        </w:tc>
        <w:tc>
          <w:tcPr>
            <w:tcW w:w="1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715"/>
              <w:spacing w:after="0"/>
              <w:rPr>
                <w:sz w:val="20"/>
                <w:szCs w:val="20"/>
                <w:color w:val="auto"/>
              </w:rPr>
            </w:pPr>
            <w:r>
              <w:rPr>
                <w:rFonts w:ascii="Arial" w:cs="Arial" w:eastAsia="Arial" w:hAnsi="Arial"/>
                <w:sz w:val="17"/>
                <w:szCs w:val="17"/>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695"/>
              <w:spacing w:after="0"/>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Aviation segment</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5,983.5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5"/>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7,262.0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17,400.8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5"/>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20,116.0</w:t>
            </w:r>
          </w:p>
        </w:tc>
        <w:tc>
          <w:tcPr>
            <w:tcW w:w="0" w:type="dxa"/>
            <w:vAlign w:val="bottom"/>
          </w:tcPr>
          <w:p>
            <w:pPr>
              <w:spacing w:after="0"/>
              <w:rPr>
                <w:sz w:val="1"/>
                <w:szCs w:val="1"/>
                <w:color w:val="auto"/>
              </w:rPr>
            </w:pPr>
          </w:p>
        </w:tc>
      </w:tr>
      <w:tr>
        <w:trPr>
          <w:trHeight w:val="217"/>
        </w:trPr>
        <w:tc>
          <w:tcPr>
            <w:tcW w:w="3060" w:type="dxa"/>
            <w:vAlign w:val="bottom"/>
          </w:tcPr>
          <w:p>
            <w:pPr>
              <w:ind w:left="140"/>
              <w:spacing w:after="0"/>
              <w:rPr>
                <w:sz w:val="20"/>
                <w:szCs w:val="20"/>
                <w:color w:val="auto"/>
              </w:rPr>
            </w:pPr>
            <w:r>
              <w:rPr>
                <w:rFonts w:ascii="Arial" w:cs="Arial" w:eastAsia="Arial" w:hAnsi="Arial"/>
                <w:sz w:val="17"/>
                <w:szCs w:val="17"/>
                <w:color w:val="auto"/>
              </w:rPr>
              <w:t>Land segment</w:t>
            </w: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3,983.5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5,013.9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11,517.1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14,826.6</w:t>
            </w:r>
          </w:p>
        </w:tc>
        <w:tc>
          <w:tcPr>
            <w:tcW w:w="0" w:type="dxa"/>
            <w:vAlign w:val="bottom"/>
          </w:tcPr>
          <w:p>
            <w:pPr>
              <w:spacing w:after="0"/>
              <w:rPr>
                <w:sz w:val="1"/>
                <w:szCs w:val="1"/>
                <w:color w:val="auto"/>
              </w:rPr>
            </w:pPr>
          </w:p>
        </w:tc>
      </w:tr>
      <w:tr>
        <w:trPr>
          <w:trHeight w:val="218"/>
        </w:trPr>
        <w:tc>
          <w:tcPr>
            <w:tcW w:w="3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Marine segment</w:t>
            </w:r>
          </w:p>
        </w:tc>
        <w:tc>
          <w:tcPr>
            <w:tcW w:w="2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2,278.2</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3,385.4</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6,789.8</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10,222.9</w:t>
            </w:r>
          </w:p>
        </w:tc>
        <w:tc>
          <w:tcPr>
            <w:tcW w:w="0" w:type="dxa"/>
            <w:vAlign w:val="bottom"/>
          </w:tcPr>
          <w:p>
            <w:pPr>
              <w:spacing w:after="0"/>
              <w:rPr>
                <w:sz w:val="1"/>
                <w:szCs w:val="1"/>
                <w:color w:val="auto"/>
              </w:rPr>
            </w:pPr>
          </w:p>
        </w:tc>
      </w:tr>
      <w:tr>
        <w:trPr>
          <w:trHeight w:val="211"/>
        </w:trPr>
        <w:tc>
          <w:tcPr>
            <w:tcW w:w="3060" w:type="dxa"/>
            <w:vAlign w:val="bottom"/>
          </w:tcPr>
          <w:p>
            <w:pPr>
              <w:ind w:left="220"/>
              <w:spacing w:after="0"/>
              <w:rPr>
                <w:sz w:val="20"/>
                <w:szCs w:val="20"/>
                <w:color w:val="auto"/>
              </w:rPr>
            </w:pPr>
            <w:r>
              <w:rPr>
                <w:rFonts w:ascii="Arial" w:cs="Arial" w:eastAsia="Arial" w:hAnsi="Arial"/>
                <w:sz w:val="17"/>
                <w:szCs w:val="17"/>
                <w:color w:val="auto"/>
              </w:rPr>
              <w:t>Total revenue</w:t>
            </w: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12,245.3</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15,661.3</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35,707.6</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45,165.4</w:t>
            </w:r>
          </w:p>
        </w:tc>
        <w:tc>
          <w:tcPr>
            <w:tcW w:w="0" w:type="dxa"/>
            <w:vAlign w:val="bottom"/>
          </w:tcPr>
          <w:p>
            <w:pPr>
              <w:spacing w:after="0"/>
              <w:rPr>
                <w:sz w:val="1"/>
                <w:szCs w:val="1"/>
                <w:color w:val="auto"/>
              </w:rPr>
            </w:pPr>
          </w:p>
        </w:tc>
      </w:tr>
      <w:tr>
        <w:trPr>
          <w:trHeight w:val="20"/>
        </w:trPr>
        <w:tc>
          <w:tcPr>
            <w:tcW w:w="30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060" w:type="dxa"/>
            <w:vAlign w:val="bottom"/>
          </w:tcPr>
          <w:p>
            <w:pPr>
              <w:ind w:left="140"/>
              <w:spacing w:after="0"/>
              <w:rPr>
                <w:sz w:val="20"/>
                <w:szCs w:val="20"/>
                <w:color w:val="auto"/>
              </w:rPr>
            </w:pPr>
            <w:r>
              <w:rPr>
                <w:rFonts w:ascii="Arial" w:cs="Arial" w:eastAsia="Arial" w:hAnsi="Arial"/>
                <w:sz w:val="17"/>
                <w:szCs w:val="17"/>
                <w:color w:val="auto"/>
              </w:rPr>
              <w:t>Aviation segment</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720" w:type="dxa"/>
            <w:vAlign w:val="bottom"/>
          </w:tcPr>
          <w:p>
            <w:pPr>
              <w:jc w:val="right"/>
              <w:spacing w:after="0"/>
              <w:rPr>
                <w:sz w:val="20"/>
                <w:szCs w:val="20"/>
                <w:color w:val="auto"/>
              </w:rPr>
            </w:pPr>
            <w:r>
              <w:rPr>
                <w:rFonts w:ascii="Arial" w:cs="Arial" w:eastAsia="Arial" w:hAnsi="Arial"/>
                <w:sz w:val="17"/>
                <w:szCs w:val="17"/>
                <w:color w:val="auto"/>
              </w:rPr>
              <w:t>125.6</w:t>
            </w:r>
          </w:p>
        </w:tc>
        <w:tc>
          <w:tcPr>
            <w:tcW w:w="120" w:type="dxa"/>
            <w:vAlign w:val="bottom"/>
          </w:tcPr>
          <w:p>
            <w:pPr>
              <w:spacing w:after="0"/>
              <w:rPr>
                <w:sz w:val="18"/>
                <w:szCs w:val="18"/>
                <w:color w:val="auto"/>
              </w:rPr>
            </w:pPr>
          </w:p>
        </w:tc>
        <w:tc>
          <w:tcPr>
            <w:tcW w:w="460" w:type="dxa"/>
            <w:vAlign w:val="bottom"/>
          </w:tcPr>
          <w:p>
            <w:pPr>
              <w:jc w:val="right"/>
              <w:ind w:right="275"/>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129.6</w:t>
            </w:r>
          </w:p>
        </w:tc>
        <w:tc>
          <w:tcPr>
            <w:tcW w:w="140" w:type="dxa"/>
            <w:vAlign w:val="bottom"/>
          </w:tcPr>
          <w:p>
            <w:pPr>
              <w:spacing w:after="0"/>
              <w:rPr>
                <w:sz w:val="18"/>
                <w:szCs w:val="18"/>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660" w:type="dxa"/>
            <w:vAlign w:val="bottom"/>
          </w:tcPr>
          <w:p>
            <w:pPr>
              <w:jc w:val="right"/>
              <w:spacing w:after="0"/>
              <w:rPr>
                <w:sz w:val="20"/>
                <w:szCs w:val="20"/>
                <w:color w:val="auto"/>
              </w:rPr>
            </w:pPr>
            <w:r>
              <w:rPr>
                <w:rFonts w:ascii="Arial" w:cs="Arial" w:eastAsia="Arial" w:hAnsi="Arial"/>
                <w:sz w:val="17"/>
                <w:szCs w:val="17"/>
                <w:color w:val="auto"/>
              </w:rPr>
              <w:t>354.4</w:t>
            </w:r>
          </w:p>
        </w:tc>
        <w:tc>
          <w:tcPr>
            <w:tcW w:w="120" w:type="dxa"/>
            <w:vAlign w:val="bottom"/>
          </w:tcPr>
          <w:p>
            <w:pPr>
              <w:spacing w:after="0"/>
              <w:rPr>
                <w:sz w:val="18"/>
                <w:szCs w:val="18"/>
                <w:color w:val="auto"/>
              </w:rPr>
            </w:pPr>
          </w:p>
        </w:tc>
        <w:tc>
          <w:tcPr>
            <w:tcW w:w="460" w:type="dxa"/>
            <w:vAlign w:val="bottom"/>
          </w:tcPr>
          <w:p>
            <w:pPr>
              <w:jc w:val="right"/>
              <w:ind w:right="275"/>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246.6</w:t>
            </w:r>
          </w:p>
        </w:tc>
        <w:tc>
          <w:tcPr>
            <w:tcW w:w="0" w:type="dxa"/>
            <w:vAlign w:val="bottom"/>
          </w:tcPr>
          <w:p>
            <w:pPr>
              <w:spacing w:after="0"/>
              <w:rPr>
                <w:sz w:val="1"/>
                <w:szCs w:val="1"/>
                <w:color w:val="auto"/>
              </w:rPr>
            </w:pPr>
          </w:p>
        </w:tc>
      </w:tr>
      <w:tr>
        <w:trPr>
          <w:trHeight w:val="218"/>
        </w:trPr>
        <w:tc>
          <w:tcPr>
            <w:tcW w:w="3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Land segment</w:t>
            </w: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360.1</w:t>
            </w:r>
          </w:p>
        </w:tc>
        <w:tc>
          <w:tcPr>
            <w:tcW w:w="0" w:type="dxa"/>
            <w:vAlign w:val="bottom"/>
          </w:tcPr>
          <w:p>
            <w:pPr>
              <w:spacing w:after="0"/>
              <w:rPr>
                <w:sz w:val="1"/>
                <w:szCs w:val="1"/>
                <w:color w:val="auto"/>
              </w:rPr>
            </w:pPr>
          </w:p>
        </w:tc>
      </w:tr>
      <w:tr>
        <w:trPr>
          <w:trHeight w:val="217"/>
        </w:trPr>
        <w:tc>
          <w:tcPr>
            <w:tcW w:w="30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Marine segment</w:t>
            </w:r>
          </w:p>
        </w:tc>
        <w:tc>
          <w:tcPr>
            <w:tcW w:w="2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34.6</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74.8</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128.6</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200.0</w:t>
            </w:r>
          </w:p>
        </w:tc>
        <w:tc>
          <w:tcPr>
            <w:tcW w:w="0" w:type="dxa"/>
            <w:vAlign w:val="bottom"/>
          </w:tcPr>
          <w:p>
            <w:pPr>
              <w:spacing w:after="0"/>
              <w:rPr>
                <w:sz w:val="1"/>
                <w:szCs w:val="1"/>
                <w:color w:val="auto"/>
              </w:rPr>
            </w:pPr>
          </w:p>
        </w:tc>
      </w:tr>
      <w:tr>
        <w:trPr>
          <w:trHeight w:val="236"/>
        </w:trPr>
        <w:tc>
          <w:tcPr>
            <w:tcW w:w="3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gross profit</w:t>
            </w: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281.4</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5"/>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322.3</w:t>
            </w: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825.8</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5"/>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806.7</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Income from operations: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0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Aviation segment</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5"/>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5"/>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w:t>
            </w:r>
          </w:p>
        </w:tc>
        <w:tc>
          <w:tcPr>
            <w:tcW w:w="0" w:type="dxa"/>
            <w:vAlign w:val="bottom"/>
          </w:tcPr>
          <w:p>
            <w:pPr>
              <w:spacing w:after="0"/>
              <w:rPr>
                <w:sz w:val="1"/>
                <w:szCs w:val="1"/>
                <w:color w:val="auto"/>
              </w:rPr>
            </w:pPr>
          </w:p>
        </w:tc>
      </w:tr>
      <w:tr>
        <w:trPr>
          <w:trHeight w:val="217"/>
        </w:trPr>
        <w:tc>
          <w:tcPr>
            <w:tcW w:w="3060" w:type="dxa"/>
            <w:vAlign w:val="bottom"/>
          </w:tcPr>
          <w:p>
            <w:pPr>
              <w:ind w:left="140"/>
              <w:spacing w:after="0"/>
              <w:rPr>
                <w:sz w:val="20"/>
                <w:szCs w:val="20"/>
                <w:color w:val="auto"/>
              </w:rPr>
            </w:pPr>
            <w:r>
              <w:rPr>
                <w:rFonts w:ascii="Arial" w:cs="Arial" w:eastAsia="Arial" w:hAnsi="Arial"/>
                <w:sz w:val="17"/>
                <w:szCs w:val="17"/>
                <w:color w:val="auto"/>
              </w:rPr>
              <w:t>Land segment</w:t>
            </w: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31.8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22.2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82.6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88.5</w:t>
            </w:r>
          </w:p>
        </w:tc>
        <w:tc>
          <w:tcPr>
            <w:tcW w:w="0" w:type="dxa"/>
            <w:vAlign w:val="bottom"/>
          </w:tcPr>
          <w:p>
            <w:pPr>
              <w:spacing w:after="0"/>
              <w:rPr>
                <w:sz w:val="1"/>
                <w:szCs w:val="1"/>
                <w:color w:val="auto"/>
              </w:rPr>
            </w:pPr>
          </w:p>
        </w:tc>
      </w:tr>
      <w:tr>
        <w:trPr>
          <w:trHeight w:val="218"/>
        </w:trPr>
        <w:tc>
          <w:tcPr>
            <w:tcW w:w="3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Marine segment</w:t>
            </w: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124.0</w:t>
            </w:r>
          </w:p>
        </w:tc>
        <w:tc>
          <w:tcPr>
            <w:tcW w:w="0" w:type="dxa"/>
            <w:vAlign w:val="bottom"/>
          </w:tcPr>
          <w:p>
            <w:pPr>
              <w:spacing w:after="0"/>
              <w:rPr>
                <w:sz w:val="1"/>
                <w:szCs w:val="1"/>
                <w:color w:val="auto"/>
              </w:rPr>
            </w:pPr>
          </w:p>
        </w:tc>
      </w:tr>
      <w:tr>
        <w:trPr>
          <w:trHeight w:val="217"/>
        </w:trPr>
        <w:tc>
          <w:tcPr>
            <w:tcW w:w="30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Corporate overhead - unallocated</w:t>
            </w:r>
          </w:p>
        </w:tc>
        <w:tc>
          <w:tcPr>
            <w:tcW w:w="2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(29.5)</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(27.9)</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(83.0)</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(76.6)</w:t>
            </w:r>
          </w:p>
        </w:tc>
        <w:tc>
          <w:tcPr>
            <w:tcW w:w="0" w:type="dxa"/>
            <w:vAlign w:val="bottom"/>
          </w:tcPr>
          <w:p>
            <w:pPr>
              <w:spacing w:after="0"/>
              <w:rPr>
                <w:sz w:val="1"/>
                <w:szCs w:val="1"/>
                <w:color w:val="auto"/>
              </w:rPr>
            </w:pPr>
          </w:p>
        </w:tc>
      </w:tr>
      <w:tr>
        <w:trPr>
          <w:trHeight w:val="236"/>
        </w:trPr>
        <w:tc>
          <w:tcPr>
            <w:tcW w:w="3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income from operations</w:t>
            </w: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73.3</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5"/>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100.3</w:t>
            </w: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213.3</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5"/>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194.4</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SALES VOLUME SUPPLEMENTAL INFORMATION</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(Unaudited -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100" w:type="dxa"/>
            <w:vAlign w:val="bottom"/>
          </w:tcPr>
          <w:p>
            <w:pPr>
              <w:spacing w:after="0"/>
              <w:rPr>
                <w:sz w:val="19"/>
                <w:szCs w:val="19"/>
                <w:color w:val="auto"/>
              </w:rPr>
            </w:pPr>
          </w:p>
        </w:tc>
        <w:tc>
          <w:tcPr>
            <w:tcW w:w="4160" w:type="dxa"/>
            <w:vAlign w:val="bottom"/>
            <w:gridSpan w:val="4"/>
          </w:tcPr>
          <w:p>
            <w:pPr>
              <w:ind w:left="400"/>
              <w:spacing w:after="0"/>
              <w:rPr>
                <w:sz w:val="20"/>
                <w:szCs w:val="20"/>
                <w:color w:val="auto"/>
              </w:rPr>
            </w:pPr>
            <w:r>
              <w:rPr>
                <w:rFonts w:ascii="Arial" w:cs="Arial" w:eastAsia="Arial" w:hAnsi="Arial"/>
                <w:sz w:val="17"/>
                <w:szCs w:val="17"/>
                <w:b w:val="1"/>
                <w:bCs w:val="1"/>
                <w:color w:val="auto"/>
              </w:rPr>
              <w:t>For the Three Months Ended September 30,</w:t>
            </w:r>
          </w:p>
        </w:tc>
        <w:tc>
          <w:tcPr>
            <w:tcW w:w="3960" w:type="dxa"/>
            <w:vAlign w:val="bottom"/>
            <w:gridSpan w:val="3"/>
          </w:tcPr>
          <w:p>
            <w:pPr>
              <w:jc w:val="right"/>
              <w:ind w:right="335"/>
              <w:spacing w:after="0"/>
              <w:rPr>
                <w:sz w:val="20"/>
                <w:szCs w:val="20"/>
                <w:color w:val="auto"/>
              </w:rPr>
            </w:pPr>
            <w:r>
              <w:rPr>
                <w:rFonts w:ascii="Arial" w:cs="Arial" w:eastAsia="Arial" w:hAnsi="Arial"/>
                <w:sz w:val="17"/>
                <w:szCs w:val="17"/>
                <w:b w:val="1"/>
                <w:bCs w:val="1"/>
                <w:color w:val="auto"/>
              </w:rPr>
              <w:t>For the Nine Months Ended September 30,</w:t>
            </w:r>
          </w:p>
        </w:tc>
      </w:tr>
      <w:tr>
        <w:trPr>
          <w:trHeight w:val="212"/>
        </w:trPr>
        <w:tc>
          <w:tcPr>
            <w:tcW w:w="310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Volume (Gallons):</w:t>
            </w:r>
          </w:p>
        </w:tc>
        <w:tc>
          <w:tcPr>
            <w:tcW w:w="1940" w:type="dxa"/>
            <w:vAlign w:val="bottom"/>
            <w:tcBorders>
              <w:top w:val="single" w:sz="8" w:color="auto"/>
              <w:bottom w:val="single" w:sz="8" w:color="auto"/>
            </w:tcBorders>
          </w:tcPr>
          <w:p>
            <w:pPr>
              <w:jc w:val="right"/>
              <w:ind w:right="715"/>
              <w:spacing w:after="0"/>
              <w:rPr>
                <w:sz w:val="20"/>
                <w:szCs w:val="20"/>
                <w:color w:val="auto"/>
              </w:rPr>
            </w:pPr>
            <w:r>
              <w:rPr>
                <w:rFonts w:ascii="Arial" w:cs="Arial" w:eastAsia="Arial" w:hAnsi="Arial"/>
                <w:sz w:val="17"/>
                <w:szCs w:val="17"/>
                <w:b w:val="1"/>
                <w:bCs w:val="1"/>
                <w:color w:val="auto"/>
              </w:rPr>
              <w:t>2023</w:t>
            </w:r>
          </w:p>
        </w:tc>
        <w:tc>
          <w:tcPr>
            <w:tcW w:w="140" w:type="dxa"/>
            <w:vAlign w:val="bottom"/>
            <w:tcBorders>
              <w:top w:val="single" w:sz="8" w:color="auto"/>
              <w:bottom w:val="single" w:sz="8" w:color="CCEEFF"/>
            </w:tcBorders>
          </w:tcPr>
          <w:p>
            <w:pPr>
              <w:spacing w:after="0"/>
              <w:rPr>
                <w:sz w:val="18"/>
                <w:szCs w:val="18"/>
                <w:color w:val="auto"/>
              </w:rPr>
            </w:pPr>
          </w:p>
        </w:tc>
        <w:tc>
          <w:tcPr>
            <w:tcW w:w="1940" w:type="dxa"/>
            <w:vAlign w:val="bottom"/>
            <w:tcBorders>
              <w:top w:val="single" w:sz="8" w:color="auto"/>
              <w:bottom w:val="single" w:sz="8" w:color="auto"/>
            </w:tcBorders>
          </w:tcPr>
          <w:p>
            <w:pPr>
              <w:jc w:val="right"/>
              <w:ind w:right="715"/>
              <w:spacing w:after="0"/>
              <w:rPr>
                <w:sz w:val="20"/>
                <w:szCs w:val="20"/>
                <w:color w:val="auto"/>
              </w:rPr>
            </w:pPr>
            <w:r>
              <w:rPr>
                <w:rFonts w:ascii="Arial" w:cs="Arial" w:eastAsia="Arial" w:hAnsi="Arial"/>
                <w:sz w:val="17"/>
                <w:szCs w:val="17"/>
                <w:b w:val="1"/>
                <w:bCs w:val="1"/>
                <w:color w:val="auto"/>
              </w:rPr>
              <w:t>2022</w:t>
            </w:r>
          </w:p>
        </w:tc>
        <w:tc>
          <w:tcPr>
            <w:tcW w:w="140" w:type="dxa"/>
            <w:vAlign w:val="bottom"/>
            <w:tcBorders>
              <w:bottom w:val="single" w:sz="8" w:color="CCEEFF"/>
            </w:tcBorders>
          </w:tcPr>
          <w:p>
            <w:pPr>
              <w:spacing w:after="0"/>
              <w:rPr>
                <w:sz w:val="18"/>
                <w:szCs w:val="18"/>
                <w:color w:val="auto"/>
              </w:rPr>
            </w:pPr>
          </w:p>
        </w:tc>
        <w:tc>
          <w:tcPr>
            <w:tcW w:w="1920" w:type="dxa"/>
            <w:vAlign w:val="bottom"/>
            <w:tcBorders>
              <w:top w:val="single" w:sz="8" w:color="auto"/>
              <w:bottom w:val="single" w:sz="8" w:color="auto"/>
            </w:tcBorders>
          </w:tcPr>
          <w:p>
            <w:pPr>
              <w:jc w:val="right"/>
              <w:ind w:right="715"/>
              <w:spacing w:after="0"/>
              <w:rPr>
                <w:sz w:val="20"/>
                <w:szCs w:val="20"/>
                <w:color w:val="auto"/>
              </w:rPr>
            </w:pPr>
            <w:r>
              <w:rPr>
                <w:rFonts w:ascii="Arial" w:cs="Arial" w:eastAsia="Arial" w:hAnsi="Arial"/>
                <w:sz w:val="17"/>
                <w:szCs w:val="17"/>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1920" w:type="dxa"/>
            <w:vAlign w:val="bottom"/>
            <w:tcBorders>
              <w:top w:val="single" w:sz="8" w:color="auto"/>
              <w:bottom w:val="single" w:sz="8" w:color="auto"/>
            </w:tcBorders>
          </w:tcPr>
          <w:p>
            <w:pPr>
              <w:jc w:val="right"/>
              <w:ind w:right="695"/>
              <w:spacing w:after="0"/>
              <w:rPr>
                <w:sz w:val="20"/>
                <w:szCs w:val="20"/>
                <w:color w:val="auto"/>
              </w:rPr>
            </w:pPr>
            <w:r>
              <w:rPr>
                <w:rFonts w:ascii="Arial" w:cs="Arial" w:eastAsia="Arial" w:hAnsi="Arial"/>
                <w:sz w:val="17"/>
                <w:szCs w:val="17"/>
                <w:b w:val="1"/>
                <w:bCs w:val="1"/>
                <w:color w:val="auto"/>
              </w:rPr>
              <w:t>2022</w:t>
            </w:r>
          </w:p>
        </w:tc>
      </w:tr>
      <w:tr>
        <w:trPr>
          <w:trHeight w:val="210"/>
        </w:trPr>
        <w:tc>
          <w:tcPr>
            <w:tcW w:w="31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Aviation Segment</w:t>
            </w: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1,920.4</w:t>
            </w:r>
          </w:p>
        </w:tc>
        <w:tc>
          <w:tcPr>
            <w:tcW w:w="14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1,839.6</w:t>
            </w:r>
          </w:p>
        </w:tc>
        <w:tc>
          <w:tcPr>
            <w:tcW w:w="14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5,544.1</w:t>
            </w: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5,326.2</w:t>
            </w:r>
          </w:p>
        </w:tc>
      </w:tr>
      <w:tr>
        <w:trPr>
          <w:trHeight w:val="218"/>
        </w:trPr>
        <w:tc>
          <w:tcPr>
            <w:tcW w:w="3100" w:type="dxa"/>
            <w:vAlign w:val="bottom"/>
          </w:tcPr>
          <w:p>
            <w:pPr>
              <w:ind w:left="120"/>
              <w:spacing w:after="0" w:line="218" w:lineRule="exact"/>
              <w:rPr>
                <w:sz w:val="20"/>
                <w:szCs w:val="20"/>
                <w:color w:val="auto"/>
              </w:rPr>
            </w:pPr>
            <w:r>
              <w:rPr>
                <w:rFonts w:ascii="Arial" w:cs="Arial" w:eastAsia="Arial" w:hAnsi="Arial"/>
                <w:sz w:val="17"/>
                <w:szCs w:val="17"/>
                <w:color w:val="auto"/>
              </w:rPr>
              <w:t xml:space="preserve">Land Segment </w:t>
            </w:r>
            <w:r>
              <w:rPr>
                <w:rFonts w:ascii="Arial" w:cs="Arial" w:eastAsia="Arial" w:hAnsi="Arial"/>
                <w:sz w:val="22"/>
                <w:szCs w:val="22"/>
                <w:color w:val="auto"/>
                <w:vertAlign w:val="superscript"/>
              </w:rPr>
              <w:t>(1)</w:t>
            </w:r>
          </w:p>
        </w:tc>
        <w:tc>
          <w:tcPr>
            <w:tcW w:w="1940" w:type="dxa"/>
            <w:vAlign w:val="bottom"/>
          </w:tcPr>
          <w:p>
            <w:pPr>
              <w:jc w:val="right"/>
              <w:spacing w:after="0"/>
              <w:rPr>
                <w:sz w:val="20"/>
                <w:szCs w:val="20"/>
                <w:color w:val="auto"/>
              </w:rPr>
            </w:pPr>
            <w:r>
              <w:rPr>
                <w:rFonts w:ascii="Arial" w:cs="Arial" w:eastAsia="Arial" w:hAnsi="Arial"/>
                <w:sz w:val="17"/>
                <w:szCs w:val="17"/>
                <w:color w:val="auto"/>
              </w:rPr>
              <w:t>1,546.0</w:t>
            </w:r>
          </w:p>
        </w:tc>
        <w:tc>
          <w:tcPr>
            <w:tcW w:w="1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1,515.1</w:t>
            </w:r>
          </w:p>
        </w:tc>
        <w:tc>
          <w:tcPr>
            <w:tcW w:w="1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4,618.3</w:t>
            </w:r>
          </w:p>
        </w:tc>
        <w:tc>
          <w:tcPr>
            <w:tcW w:w="1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4,629.4</w:t>
            </w:r>
          </w:p>
        </w:tc>
      </w:tr>
      <w:tr>
        <w:trPr>
          <w:trHeight w:val="218"/>
        </w:trPr>
        <w:tc>
          <w:tcPr>
            <w:tcW w:w="3100" w:type="dxa"/>
            <w:vAlign w:val="bottom"/>
            <w:shd w:val="clear" w:color="auto" w:fill="CCEEFF"/>
          </w:tcPr>
          <w:p>
            <w:pPr>
              <w:ind w:left="120"/>
              <w:spacing w:after="0" w:line="218" w:lineRule="exact"/>
              <w:rPr>
                <w:sz w:val="20"/>
                <w:szCs w:val="20"/>
                <w:color w:val="auto"/>
              </w:rPr>
            </w:pPr>
            <w:r>
              <w:rPr>
                <w:rFonts w:ascii="Arial" w:cs="Arial" w:eastAsia="Arial" w:hAnsi="Arial"/>
                <w:sz w:val="17"/>
                <w:szCs w:val="17"/>
                <w:color w:val="auto"/>
              </w:rPr>
              <w:t xml:space="preserve">Marine Segment </w:t>
            </w:r>
            <w:r>
              <w:rPr>
                <w:rFonts w:ascii="Arial" w:cs="Arial" w:eastAsia="Arial" w:hAnsi="Arial"/>
                <w:sz w:val="22"/>
                <w:szCs w:val="22"/>
                <w:color w:val="auto"/>
                <w:vertAlign w:val="superscript"/>
              </w:rPr>
              <w:t>(2)</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1,069.9</w:t>
            </w:r>
          </w:p>
        </w:tc>
        <w:tc>
          <w:tcPr>
            <w:tcW w:w="140" w:type="dxa"/>
            <w:vAlign w:val="bottom"/>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1,274.7</w:t>
            </w:r>
          </w:p>
        </w:tc>
        <w:tc>
          <w:tcPr>
            <w:tcW w:w="140" w:type="dxa"/>
            <w:vAlign w:val="bottom"/>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3,311.0</w:t>
            </w:r>
          </w:p>
        </w:tc>
        <w:tc>
          <w:tcPr>
            <w:tcW w:w="120" w:type="dxa"/>
            <w:vAlign w:val="bottom"/>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3,801.2</w:t>
            </w:r>
          </w:p>
        </w:tc>
      </w:tr>
      <w:tr>
        <w:trPr>
          <w:trHeight w:val="210"/>
        </w:trPr>
        <w:tc>
          <w:tcPr>
            <w:tcW w:w="3100" w:type="dxa"/>
            <w:vAlign w:val="bottom"/>
          </w:tcPr>
          <w:p>
            <w:pPr>
              <w:ind w:left="220"/>
              <w:spacing w:after="0"/>
              <w:rPr>
                <w:sz w:val="20"/>
                <w:szCs w:val="20"/>
                <w:color w:val="auto"/>
              </w:rPr>
            </w:pPr>
            <w:r>
              <w:rPr>
                <w:rFonts w:ascii="Arial" w:cs="Arial" w:eastAsia="Arial" w:hAnsi="Arial"/>
                <w:sz w:val="17"/>
                <w:szCs w:val="17"/>
                <w:color w:val="auto"/>
              </w:rPr>
              <w:t>Consolidated Total</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4,536.2</w:t>
            </w:r>
          </w:p>
        </w:tc>
        <w:tc>
          <w:tcPr>
            <w:tcW w:w="140" w:type="dxa"/>
            <w:vAlign w:val="bottom"/>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4,629.4</w:t>
            </w:r>
          </w:p>
        </w:tc>
        <w:tc>
          <w:tcPr>
            <w:tcW w:w="140" w:type="dxa"/>
            <w:vAlign w:val="bottom"/>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13,473.3</w:t>
            </w:r>
          </w:p>
        </w:tc>
        <w:tc>
          <w:tcPr>
            <w:tcW w:w="120" w:type="dxa"/>
            <w:vAlign w:val="bottom"/>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13,756.8</w:t>
            </w:r>
          </w:p>
        </w:tc>
      </w:tr>
      <w:tr>
        <w:trPr>
          <w:trHeight w:val="20"/>
        </w:trPr>
        <w:tc>
          <w:tcPr>
            <w:tcW w:w="3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left="300" w:hanging="298"/>
        <w:spacing w:after="0"/>
        <w:tabs>
          <w:tab w:leader="none" w:pos="300" w:val="left"/>
        </w:tabs>
        <w:numPr>
          <w:ilvl w:val="0"/>
          <w:numId w:val="8"/>
        </w:numPr>
        <w:rPr>
          <w:rFonts w:ascii="Arial" w:cs="Arial" w:eastAsia="Arial" w:hAnsi="Arial"/>
          <w:sz w:val="22"/>
          <w:szCs w:val="22"/>
          <w:color w:val="auto"/>
          <w:vertAlign w:val="superscript"/>
        </w:rPr>
      </w:pPr>
      <w:r>
        <w:rPr>
          <w:rFonts w:ascii="Arial" w:cs="Arial" w:eastAsia="Arial" w:hAnsi="Arial"/>
          <w:sz w:val="17"/>
          <w:szCs w:val="17"/>
          <w:color w:val="auto"/>
        </w:rPr>
        <w:t>Includes gallons and gallon equivalents of British Thermal Units (BTU) for our natural gas sales and Kilowatt Hours (kWh) for our power business.</w:t>
      </w:r>
    </w:p>
    <w:p>
      <w:pPr>
        <w:spacing w:after="0" w:line="91" w:lineRule="exact"/>
        <w:rPr>
          <w:rFonts w:ascii="Arial" w:cs="Arial" w:eastAsia="Arial" w:hAnsi="Arial"/>
          <w:sz w:val="22"/>
          <w:szCs w:val="22"/>
          <w:color w:val="auto"/>
          <w:vertAlign w:val="superscript"/>
        </w:rPr>
      </w:pPr>
    </w:p>
    <w:p>
      <w:pPr>
        <w:ind w:left="300" w:hanging="298"/>
        <w:spacing w:after="0" w:line="225" w:lineRule="auto"/>
        <w:tabs>
          <w:tab w:leader="none" w:pos="288" w:val="left"/>
        </w:tabs>
        <w:numPr>
          <w:ilvl w:val="0"/>
          <w:numId w:val="8"/>
        </w:numPr>
        <w:rPr>
          <w:rFonts w:ascii="Arial" w:cs="Arial" w:eastAsia="Arial" w:hAnsi="Arial"/>
          <w:sz w:val="22"/>
          <w:szCs w:val="22"/>
          <w:color w:val="auto"/>
          <w:vertAlign w:val="superscript"/>
        </w:rPr>
      </w:pPr>
      <w:r>
        <w:rPr>
          <w:rFonts w:ascii="Arial" w:cs="Arial" w:eastAsia="Arial" w:hAnsi="Arial"/>
          <w:sz w:val="17"/>
          <w:szCs w:val="17"/>
          <w:color w:val="auto"/>
        </w:rPr>
        <w:t>Converted from metric tons to gallons at a rate of 264 gallons per metric ton. Marine segment metric tons were 4.1 and 4.8 for the three months ended September 30, 2023 and 2022, respectively; and 12.5 and 14.4 for the nine months ended September 30, 2023 and 2022, respectively.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sectPr>
      <w:pgSz w:w="11900" w:h="16838" w:orient="portrait"/>
      <w:cols w:equalWidth="0" w:num="1">
        <w:col w:w="11240"/>
      </w:cols>
      <w:pgMar w:left="320" w:top="130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2023-10-26T15:38:52Z</dcterms:created>
  <dcterms:modified xsi:type="dcterms:W3CDTF">2023-10-26T15:38:52Z</dcterms:modified>
</cp:coreProperties>
</file>