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177800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177800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29, 2003</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1-9533</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94" w:lineRule="exact"/>
        <w:rPr>
          <w:sz w:val="24"/>
          <w:szCs w:val="24"/>
          <w:color w:val="auto"/>
        </w:rPr>
      </w:pPr>
    </w:p>
    <w:tbl>
      <w:tblPr>
        <w:tblLayout w:type="fixed"/>
        <w:tblInd w:w="100" w:type="dxa"/>
        <w:tblCellMar>
          <w:top w:w="0" w:type="dxa"/>
          <w:left w:w="0" w:type="dxa"/>
          <w:bottom w:w="0" w:type="dxa"/>
          <w:right w:w="0" w:type="dxa"/>
        </w:tblCellMar>
      </w:tblPr>
      <w:tr>
        <w:trPr>
          <w:trHeight w:val="222"/>
        </w:trPr>
        <w:tc>
          <w:tcPr>
            <w:tcW w:w="4560" w:type="dxa"/>
            <w:vAlign w:val="bottom"/>
          </w:tcPr>
          <w:p>
            <w:pPr>
              <w:jc w:val="center"/>
              <w:ind w:right="1392"/>
              <w:spacing w:after="0"/>
              <w:rPr>
                <w:sz w:val="20"/>
                <w:szCs w:val="20"/>
                <w:color w:val="auto"/>
              </w:rPr>
            </w:pPr>
            <w:r>
              <w:rPr>
                <w:rFonts w:ascii="Arial" w:cs="Arial" w:eastAsia="Arial" w:hAnsi="Arial"/>
                <w:sz w:val="18"/>
                <w:szCs w:val="18"/>
                <w:b w:val="1"/>
                <w:bCs w:val="1"/>
                <w:color w:val="auto"/>
                <w:w w:val="93"/>
              </w:rPr>
              <w:t>Florida</w:t>
            </w:r>
          </w:p>
        </w:tc>
        <w:tc>
          <w:tcPr>
            <w:tcW w:w="4000" w:type="dxa"/>
            <w:vAlign w:val="bottom"/>
          </w:tcPr>
          <w:p>
            <w:pPr>
              <w:jc w:val="right"/>
              <w:ind w:right="752"/>
              <w:spacing w:after="0"/>
              <w:rPr>
                <w:sz w:val="20"/>
                <w:szCs w:val="20"/>
                <w:color w:val="auto"/>
              </w:rPr>
            </w:pPr>
            <w:r>
              <w:rPr>
                <w:rFonts w:ascii="Arial" w:cs="Arial" w:eastAsia="Arial" w:hAnsi="Arial"/>
                <w:sz w:val="18"/>
                <w:szCs w:val="18"/>
                <w:b w:val="1"/>
                <w:bCs w:val="1"/>
                <w:color w:val="auto"/>
              </w:rPr>
              <w:t>59-2459427</w:t>
            </w:r>
          </w:p>
        </w:tc>
      </w:tr>
      <w:tr>
        <w:trPr>
          <w:trHeight w:val="222"/>
        </w:trPr>
        <w:tc>
          <w:tcPr>
            <w:tcW w:w="4560" w:type="dxa"/>
            <w:vAlign w:val="bottom"/>
          </w:tcPr>
          <w:p>
            <w:pPr>
              <w:jc w:val="center"/>
              <w:ind w:right="1392"/>
              <w:spacing w:after="0"/>
              <w:rPr>
                <w:sz w:val="20"/>
                <w:szCs w:val="20"/>
                <w:color w:val="auto"/>
              </w:rPr>
            </w:pPr>
            <w:r>
              <w:rPr>
                <w:rFonts w:ascii="Arial" w:cs="Arial" w:eastAsia="Arial" w:hAnsi="Arial"/>
                <w:sz w:val="18"/>
                <w:szCs w:val="18"/>
                <w:color w:val="auto"/>
                <w:w w:val="90"/>
              </w:rPr>
              <w:t>(State or other jurisdiction of incorporation)</w:t>
            </w:r>
          </w:p>
        </w:tc>
        <w:tc>
          <w:tcPr>
            <w:tcW w:w="4000" w:type="dxa"/>
            <w:vAlign w:val="bottom"/>
          </w:tcPr>
          <w:p>
            <w:pPr>
              <w:jc w:val="center"/>
              <w:ind w:left="1372"/>
              <w:spacing w:after="0"/>
              <w:rPr>
                <w:sz w:val="20"/>
                <w:szCs w:val="20"/>
                <w:color w:val="auto"/>
              </w:rPr>
            </w:pPr>
            <w:r>
              <w:rPr>
                <w:rFonts w:ascii="Arial" w:cs="Arial" w:eastAsia="Arial" w:hAnsi="Arial"/>
                <w:sz w:val="18"/>
                <w:szCs w:val="18"/>
                <w:color w:val="auto"/>
                <w:w w:val="91"/>
              </w:rPr>
              <w:t>(I.R.S. Employer Identification No.)</w:t>
            </w:r>
          </w:p>
        </w:tc>
      </w:tr>
      <w:tr>
        <w:trPr>
          <w:trHeight w:val="420"/>
        </w:trPr>
        <w:tc>
          <w:tcPr>
            <w:tcW w:w="4560" w:type="dxa"/>
            <w:vAlign w:val="bottom"/>
          </w:tcPr>
          <w:p>
            <w:pPr>
              <w:jc w:val="center"/>
              <w:ind w:right="1372"/>
              <w:spacing w:after="0"/>
              <w:rPr>
                <w:sz w:val="20"/>
                <w:szCs w:val="20"/>
                <w:color w:val="auto"/>
              </w:rPr>
            </w:pPr>
            <w:r>
              <w:rPr>
                <w:rFonts w:ascii="Arial" w:cs="Arial" w:eastAsia="Arial" w:hAnsi="Arial"/>
                <w:sz w:val="18"/>
                <w:szCs w:val="18"/>
                <w:b w:val="1"/>
                <w:bCs w:val="1"/>
                <w:color w:val="auto"/>
                <w:w w:val="87"/>
              </w:rPr>
              <w:t>9800 N.W. 41</w:t>
            </w:r>
            <w:r>
              <w:rPr>
                <w:rFonts w:ascii="Arial" w:cs="Arial" w:eastAsia="Arial" w:hAnsi="Arial"/>
                <w:sz w:val="22"/>
                <w:szCs w:val="22"/>
                <w:b w:val="1"/>
                <w:bCs w:val="1"/>
                <w:color w:val="auto"/>
                <w:w w:val="87"/>
                <w:vertAlign w:val="superscript"/>
              </w:rPr>
              <w:t>st</w:t>
            </w:r>
            <w:r>
              <w:rPr>
                <w:rFonts w:ascii="Arial" w:cs="Arial" w:eastAsia="Arial" w:hAnsi="Arial"/>
                <w:sz w:val="18"/>
                <w:szCs w:val="18"/>
                <w:b w:val="1"/>
                <w:bCs w:val="1"/>
                <w:color w:val="auto"/>
                <w:w w:val="87"/>
              </w:rPr>
              <w:t xml:space="preserve"> Street, Suite 400</w:t>
            </w:r>
          </w:p>
        </w:tc>
        <w:tc>
          <w:tcPr>
            <w:tcW w:w="4000" w:type="dxa"/>
            <w:vAlign w:val="bottom"/>
          </w:tcPr>
          <w:p>
            <w:pPr>
              <w:spacing w:after="0"/>
              <w:rPr>
                <w:sz w:val="24"/>
                <w:szCs w:val="24"/>
                <w:color w:val="auto"/>
              </w:rPr>
            </w:pPr>
          </w:p>
        </w:tc>
      </w:tr>
      <w:tr>
        <w:trPr>
          <w:trHeight w:val="222"/>
        </w:trPr>
        <w:tc>
          <w:tcPr>
            <w:tcW w:w="4560" w:type="dxa"/>
            <w:vAlign w:val="bottom"/>
          </w:tcPr>
          <w:p>
            <w:pPr>
              <w:jc w:val="center"/>
              <w:ind w:right="1372"/>
              <w:spacing w:after="0"/>
              <w:rPr>
                <w:sz w:val="20"/>
                <w:szCs w:val="20"/>
                <w:color w:val="auto"/>
              </w:rPr>
            </w:pPr>
            <w:r>
              <w:rPr>
                <w:rFonts w:ascii="Arial" w:cs="Arial" w:eastAsia="Arial" w:hAnsi="Arial"/>
                <w:sz w:val="18"/>
                <w:szCs w:val="18"/>
                <w:b w:val="1"/>
                <w:bCs w:val="1"/>
                <w:color w:val="auto"/>
                <w:w w:val="97"/>
              </w:rPr>
              <w:t>Miami</w:t>
            </w:r>
          </w:p>
        </w:tc>
        <w:tc>
          <w:tcPr>
            <w:tcW w:w="4000" w:type="dxa"/>
            <w:vAlign w:val="bottom"/>
          </w:tcPr>
          <w:p>
            <w:pPr>
              <w:jc w:val="right"/>
              <w:ind w:right="952"/>
              <w:spacing w:after="0"/>
              <w:rPr>
                <w:sz w:val="20"/>
                <w:szCs w:val="20"/>
                <w:color w:val="auto"/>
              </w:rPr>
            </w:pPr>
            <w:r>
              <w:rPr>
                <w:rFonts w:ascii="Arial" w:cs="Arial" w:eastAsia="Arial" w:hAnsi="Arial"/>
                <w:sz w:val="18"/>
                <w:szCs w:val="18"/>
                <w:b w:val="1"/>
                <w:bCs w:val="1"/>
                <w:color w:val="auto"/>
              </w:rPr>
              <w:t>33178</w:t>
            </w:r>
          </w:p>
        </w:tc>
      </w:tr>
      <w:tr>
        <w:trPr>
          <w:trHeight w:val="222"/>
        </w:trPr>
        <w:tc>
          <w:tcPr>
            <w:tcW w:w="4560" w:type="dxa"/>
            <w:vAlign w:val="bottom"/>
          </w:tcPr>
          <w:p>
            <w:pPr>
              <w:jc w:val="center"/>
              <w:ind w:right="1372"/>
              <w:spacing w:after="0"/>
              <w:rPr>
                <w:sz w:val="20"/>
                <w:szCs w:val="20"/>
                <w:color w:val="auto"/>
              </w:rPr>
            </w:pPr>
            <w:r>
              <w:rPr>
                <w:rFonts w:ascii="Arial" w:cs="Arial" w:eastAsia="Arial" w:hAnsi="Arial"/>
                <w:sz w:val="18"/>
                <w:szCs w:val="18"/>
                <w:color w:val="auto"/>
                <w:w w:val="90"/>
              </w:rPr>
              <w:t>(Address of principal executive offices)</w:t>
            </w:r>
          </w:p>
        </w:tc>
        <w:tc>
          <w:tcPr>
            <w:tcW w:w="4000" w:type="dxa"/>
            <w:vAlign w:val="bottom"/>
          </w:tcPr>
          <w:p>
            <w:pPr>
              <w:jc w:val="center"/>
              <w:ind w:left="1372"/>
              <w:spacing w:after="0"/>
              <w:rPr>
                <w:sz w:val="20"/>
                <w:szCs w:val="20"/>
                <w:color w:val="auto"/>
              </w:rPr>
            </w:pPr>
            <w:r>
              <w:rPr>
                <w:rFonts w:ascii="Arial" w:cs="Arial" w:eastAsia="Arial" w:hAnsi="Arial"/>
                <w:sz w:val="18"/>
                <w:szCs w:val="18"/>
                <w:color w:val="auto"/>
                <w:w w:val="91"/>
              </w:rPr>
              <w:t>(Zip Code)</w:t>
            </w:r>
          </w:p>
        </w:tc>
      </w:tr>
    </w:tbl>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ectPr>
          <w:pgSz w:w="11900" w:h="16838" w:orient="portrait"/>
          <w:cols w:equalWidth="0" w:num="1">
            <w:col w:w="9019"/>
          </w:cols>
          <w:pgMar w:left="1440" w:top="233" w:right="1440"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 and Regulation FD Disclosure</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World Fuel Services Corporation (NYSE:INT), a global leader in the marketing and financing of aviation and marine fuel products and related services, today reported that net income for the third quarter ended September 30, 2003 was $5.5 million, or $0.49 per diluted share, compared to $0.7 million, or $0.07 per diluted share, for the same quarter in the prior year. For the nine months ended September 30, 2003, the Company reported net income of $16.2 million, or $1.46 per diluted share, compared to $9.6 million, or $0.89 per diluted share, for the same period a year ago. Included in last year’s third quarter and nine months results was a non-recurring after tax charge of $970 thousand, or $0.09 per diluted share, from a previously announced debt settlement and a $2.8 million after-tax charge, or $0.25 per diluted share, from previously announced executive severance for the former Chairman of the Board of Directors and four other executives.</w:t>
      </w:r>
    </w:p>
    <w:p>
      <w:pPr>
        <w:spacing w:after="0" w:line="9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pleased with our continued strong results, which reflect the success of our business model and validate the tremendous effort of our global team.” said Paul Stebbins, Chairman and Chief Executive Officer.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99.1 for the press release.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117" w:lineRule="exact"/>
        <w:rPr>
          <w:sz w:val="20"/>
          <w:szCs w:val="20"/>
          <w:color w:val="auto"/>
        </w:rPr>
      </w:pPr>
    </w:p>
    <w:p>
      <w:pPr>
        <w:ind w:left="1240"/>
        <w:spacing w:after="0"/>
        <w:tabs>
          <w:tab w:leader="none" w:pos="2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29, 2003.</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 October 30, 2003</w:t>
      </w:r>
      <w:r>
        <w:rPr>
          <w:sz w:val="20"/>
          <w:szCs w:val="20"/>
          <w:color w:val="auto"/>
        </w:rPr>
        <w:tab/>
      </w:r>
      <w:r>
        <w:rPr>
          <w:rFonts w:ascii="Arial" w:cs="Arial" w:eastAsia="Arial" w:hAnsi="Arial"/>
          <w:sz w:val="16"/>
          <w:szCs w:val="16"/>
          <w:b w:val="1"/>
          <w:bCs w:val="1"/>
          <w:color w:val="auto"/>
        </w:rPr>
        <w:t>World Fuel Services Corporation</w:t>
      </w:r>
    </w:p>
    <w:p>
      <w:pPr>
        <w:spacing w:after="0" w:line="23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and Chief Operating Officer</w:t>
      </w:r>
    </w:p>
    <w:p>
      <w:pPr>
        <w:spacing w:after="0" w:line="36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980"/>
          </w:cols>
          <w:pgMar w:left="240" w:top="274"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NEWS RELEASE for October 29, 2003 at 8:00 AM EDT</w:t>
      </w:r>
    </w:p>
    <w:p>
      <w:pPr>
        <w:spacing w:after="0" w:line="15" w:lineRule="exact"/>
        <w:rPr>
          <w:sz w:val="20"/>
          <w:szCs w:val="20"/>
          <w:color w:val="auto"/>
        </w:rPr>
      </w:pPr>
    </w:p>
    <w:p>
      <w:pPr>
        <w:spacing w:after="0"/>
        <w:tabs>
          <w:tab w:leader="none" w:pos="1260" w:val="left"/>
          <w:tab w:leader="none" w:pos="36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Allen &amp; Caron Inc</w:t>
      </w:r>
      <w:r>
        <w:rPr>
          <w:sz w:val="20"/>
          <w:szCs w:val="20"/>
          <w:color w:val="auto"/>
        </w:rPr>
        <w:tab/>
      </w:r>
      <w:r>
        <w:rPr>
          <w:rFonts w:ascii="Arial" w:cs="Arial" w:eastAsia="Arial" w:hAnsi="Arial"/>
          <w:sz w:val="16"/>
          <w:szCs w:val="16"/>
          <w:color w:val="auto"/>
        </w:rPr>
        <w:t>World Fuel Services Corporation</w:t>
      </w:r>
    </w:p>
    <w:p>
      <w:pPr>
        <w:spacing w:after="0" w:line="9" w:lineRule="exact"/>
        <w:rPr>
          <w:sz w:val="20"/>
          <w:szCs w:val="20"/>
          <w:color w:val="auto"/>
        </w:rPr>
      </w:pPr>
    </w:p>
    <w:p>
      <w:pPr>
        <w:ind w:left="1280"/>
        <w:spacing w:after="0"/>
        <w:tabs>
          <w:tab w:leader="none" w:pos="3640" w:val="left"/>
        </w:tabs>
        <w:rPr>
          <w:sz w:val="20"/>
          <w:szCs w:val="20"/>
          <w:color w:val="auto"/>
        </w:rPr>
      </w:pPr>
      <w:r>
        <w:rPr>
          <w:rFonts w:ascii="Arial" w:cs="Arial" w:eastAsia="Arial" w:hAnsi="Arial"/>
          <w:sz w:val="18"/>
          <w:szCs w:val="18"/>
          <w:color w:val="auto"/>
        </w:rPr>
        <w:t>Jesse Deal (Investors)</w:t>
      </w:r>
      <w:r>
        <w:rPr>
          <w:sz w:val="20"/>
          <w:szCs w:val="20"/>
          <w:color w:val="auto"/>
        </w:rPr>
        <w:tab/>
      </w:r>
      <w:r>
        <w:rPr>
          <w:rFonts w:ascii="Arial" w:cs="Arial" w:eastAsia="Arial" w:hAnsi="Arial"/>
          <w:sz w:val="16"/>
          <w:szCs w:val="16"/>
          <w:color w:val="auto"/>
        </w:rPr>
        <w:t>Francis X Shea, CFO &amp; EVP</w:t>
      </w:r>
    </w:p>
    <w:p>
      <w:pPr>
        <w:spacing w:after="0" w:line="9" w:lineRule="exact"/>
        <w:rPr>
          <w:sz w:val="20"/>
          <w:szCs w:val="20"/>
          <w:color w:val="auto"/>
        </w:rPr>
      </w:pPr>
    </w:p>
    <w:p>
      <w:pPr>
        <w:ind w:left="1280"/>
        <w:spacing w:after="0"/>
        <w:tabs>
          <w:tab w:leader="none" w:pos="3640" w:val="left"/>
        </w:tabs>
        <w:rPr>
          <w:sz w:val="20"/>
          <w:szCs w:val="20"/>
          <w:color w:val="auto"/>
        </w:rPr>
      </w:pPr>
      <w:r>
        <w:rPr>
          <w:rFonts w:ascii="Arial" w:cs="Arial" w:eastAsia="Arial" w:hAnsi="Arial"/>
          <w:sz w:val="18"/>
          <w:szCs w:val="18"/>
          <w:color w:val="auto"/>
        </w:rPr>
        <w:t>jesse@allencaron.com</w:t>
      </w:r>
      <w:r>
        <w:rPr>
          <w:sz w:val="20"/>
          <w:szCs w:val="20"/>
          <w:color w:val="auto"/>
        </w:rPr>
        <w:tab/>
      </w:r>
      <w:r>
        <w:rPr>
          <w:rFonts w:ascii="Arial" w:cs="Arial" w:eastAsia="Arial" w:hAnsi="Arial"/>
          <w:sz w:val="18"/>
          <w:szCs w:val="18"/>
          <w:color w:val="auto"/>
        </w:rPr>
        <w:t>fshea@wfscorp.com</w:t>
      </w:r>
    </w:p>
    <w:p>
      <w:pPr>
        <w:spacing w:after="0" w:line="9" w:lineRule="exact"/>
        <w:rPr>
          <w:sz w:val="20"/>
          <w:szCs w:val="20"/>
          <w:color w:val="auto"/>
        </w:rPr>
      </w:pPr>
    </w:p>
    <w:p>
      <w:pPr>
        <w:ind w:left="1280"/>
        <w:spacing w:after="0"/>
        <w:tabs>
          <w:tab w:leader="none" w:pos="3640" w:val="left"/>
        </w:tabs>
        <w:rPr>
          <w:sz w:val="20"/>
          <w:szCs w:val="20"/>
          <w:color w:val="auto"/>
        </w:rPr>
      </w:pPr>
      <w:r>
        <w:rPr>
          <w:rFonts w:ascii="Arial" w:cs="Arial" w:eastAsia="Arial" w:hAnsi="Arial"/>
          <w:sz w:val="18"/>
          <w:szCs w:val="18"/>
          <w:color w:val="auto"/>
        </w:rPr>
        <w:t>(212) 691-8087</w:t>
      </w:r>
      <w:r>
        <w:rPr>
          <w:sz w:val="20"/>
          <w:szCs w:val="20"/>
          <w:color w:val="auto"/>
        </w:rPr>
        <w:tab/>
      </w:r>
      <w:r>
        <w:rPr>
          <w:rFonts w:ascii="Arial" w:cs="Arial" w:eastAsia="Arial" w:hAnsi="Arial"/>
          <w:sz w:val="16"/>
          <w:szCs w:val="16"/>
          <w:color w:val="auto"/>
        </w:rPr>
        <w:t>(305) 428-8000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Len Hall (Media)</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len@allencaron.com</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(949) 474-4300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REPORTS STRONG THIRD QUARTER RESULTS</w:t>
      </w:r>
    </w:p>
    <w:p>
      <w:pPr>
        <w:spacing w:after="0" w:line="1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MIAMI (Oct 29, 2003) … World Fuel Services Corporation (NYSE:INT), a global leader in the marketing and financing of aviation and marine fuel products and related services, today reported that net income for the third quarter ended September 30, 2003 was $5.5 million, or $0.49 per diluted share, compared to $0.7 million, or $0.07 per diluted share, for the same quarter in the prior year. For the nine months ended September 30, 2003, the Company reported net income of $16.2 million, or $1.46 per diluted share, compared to $9.6 million, or $0.89 per diluted share, for the same period a year ago. Included in last year’s third quarter and nine months results was a non-recurring after tax charge of $970 thousand, or $0.09 per diluted share, from a previously announced debt settlement and a $2.8 million after-tax charge, or $0.25 per diluted share, from previously announced executive severance for the former Chairman of the Board of Directors and four other executives.</w:t>
      </w:r>
    </w:p>
    <w:p>
      <w:pPr>
        <w:spacing w:after="0" w:line="13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pleased with our continued strong results, which reflect the success of our business model and validate the tremendous effort of our global team.” said Paul Stebbins, Chairman and Chief Executive Officer.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200" w:type="dxa"/>
            <w:vAlign w:val="bottom"/>
            <w:gridSpan w:val="7"/>
          </w:tcPr>
          <w:p>
            <w:pPr>
              <w:jc w:val="center"/>
              <w:ind w:left="172"/>
              <w:spacing w:after="0"/>
              <w:rPr>
                <w:sz w:val="20"/>
                <w:szCs w:val="20"/>
                <w:color w:val="auto"/>
              </w:rPr>
            </w:pPr>
            <w:r>
              <w:rPr>
                <w:rFonts w:ascii="Arial" w:cs="Arial" w:eastAsia="Arial" w:hAnsi="Arial"/>
                <w:sz w:val="18"/>
                <w:szCs w:val="18"/>
                <w:color w:val="auto"/>
                <w:w w:val="96"/>
              </w:rPr>
              <w:t>THIRD QUARTER AND NINE-MONTHS FINANCIAL HIGHLIGHTS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880" w:type="dxa"/>
            <w:vAlign w:val="bottom"/>
            <w:gridSpan w:val="4"/>
          </w:tcPr>
          <w:p>
            <w:pPr>
              <w:jc w:val="center"/>
              <w:ind w:left="1492"/>
              <w:spacing w:after="0"/>
              <w:rPr>
                <w:sz w:val="20"/>
                <w:szCs w:val="20"/>
                <w:color w:val="auto"/>
              </w:rPr>
            </w:pPr>
            <w:r>
              <w:rPr>
                <w:rFonts w:ascii="Arial" w:cs="Arial" w:eastAsia="Arial" w:hAnsi="Arial"/>
                <w:sz w:val="18"/>
                <w:szCs w:val="18"/>
                <w:color w:val="auto"/>
                <w:w w:val="86"/>
              </w:rPr>
              <w:t>($ in thousands, except per share data)</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1040"/>
              <w:spacing w:after="0"/>
              <w:rPr>
                <w:sz w:val="20"/>
                <w:szCs w:val="20"/>
                <w:color w:val="auto"/>
              </w:rPr>
            </w:pPr>
            <w:r>
              <w:rPr>
                <w:rFonts w:ascii="Arial" w:cs="Arial" w:eastAsia="Arial" w:hAnsi="Arial"/>
                <w:sz w:val="18"/>
                <w:szCs w:val="18"/>
                <w:color w:val="auto"/>
              </w:rPr>
              <w:t>Quarter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9/30/03</w:t>
            </w:r>
          </w:p>
        </w:tc>
        <w:tc>
          <w:tcPr>
            <w:tcW w:w="4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9"/>
              </w:rPr>
              <w:t>9/30/02</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9/30/03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9/30/02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$ 652,301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510,601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1,956,219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1,320,794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7,164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1,105(a)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13,357(a)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747(a)(b)</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9,626(a)(b)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0.07(a)(b)</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0.89(a)(b)</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00" w:right="2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non-recurring charges of $4.5 million, or $2.8 million after-tax charges, or $0.25 per diluted share, from previously announced executive severance for the former Chairman of the Board of Directors and four other executives.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a $970 thousand after-tax non-recurring charge, or $0.09 per diluted share, from a previously announced debt settlement.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MORE-MORE-MORE</w:t>
      </w:r>
    </w:p>
    <w:p>
      <w:pPr>
        <w:sectPr>
          <w:pgSz w:w="11900" w:h="16838" w:orient="portrait"/>
          <w:cols w:equalWidth="0" w:num="1">
            <w:col w:w="11420"/>
          </w:cols>
          <w:pgMar w:left="240" w:top="131" w:right="2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REPORTS RECORD RESULTS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2-2-2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1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Headquartered in Miami, FL, World Fuel Services Corporation is a global leader in the downstream marketing and financing of aviation and marine fuel products and related services. As the marketer of choice in the aviation and shipping industries, World Fuel Services provides fuel and services at more than 1,100 airports and seaports worldwide. With 30 offices strategically located throughout the world, World Fuel Services offers its customers a value-added outsource service for the supply, quality control, logistical support and price risk management of marine and aviation fuel.</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 428-8000 or visit </w:t>
      </w:r>
      <w:r>
        <w:rPr>
          <w:rFonts w:ascii="Arial" w:cs="Arial" w:eastAsia="Arial" w:hAnsi="Arial"/>
          <w:sz w:val="16"/>
          <w:szCs w:val="16"/>
          <w:u w:val="single" w:color="auto"/>
          <w:color w:val="auto"/>
        </w:rPr>
        <w:t>www.worldfuel.com</w:t>
      </w:r>
      <w:r>
        <w:rPr>
          <w:rFonts w:ascii="Arial" w:cs="Arial" w:eastAsia="Arial" w:hAnsi="Arial"/>
          <w:sz w:val="16"/>
          <w:szCs w:val="16"/>
          <w:color w:val="auto"/>
        </w:rPr>
        <w:t>.</w:t>
      </w:r>
    </w:p>
    <w:p>
      <w:pPr>
        <w:spacing w:after="0" w:line="9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FOLLOW</w:t>
      </w:r>
    </w:p>
    <w:p>
      <w:pPr>
        <w:sectPr>
          <w:pgSz w:w="11900" w:h="16838" w:orient="portrait"/>
          <w:cols w:equalWidth="0" w:num="1">
            <w:col w:w="11420"/>
          </w:cols>
          <w:pgMar w:left="240" w:top="280" w:right="239" w:bottom="1440" w:gutter="0" w:footer="0" w:header="0"/>
        </w:sectPr>
      </w:pPr>
    </w:p>
    <w:bookmarkStart w:id="5" w:name="page6"/>
    <w:bookmarkEnd w:id="5"/>
    <w:p>
      <w:pPr>
        <w:ind w:left="20" w:right="5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REPORTS STRONG THIRD QUARTER RESULTS Page 3-3-3</w:t>
      </w:r>
    </w:p>
    <w:p>
      <w:pPr>
        <w:spacing w:after="0" w:line="11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World Fuel Services Corporation and Subsidiaries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Consolidated Condensed Statements of Income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(Unaudited –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right"/>
              <w:ind w:right="152"/>
              <w:spacing w:after="0"/>
              <w:rPr>
                <w:sz w:val="20"/>
                <w:szCs w:val="20"/>
                <w:color w:val="auto"/>
              </w:rPr>
            </w:pPr>
            <w:r>
              <w:rPr>
                <w:rFonts w:ascii="Arial" w:cs="Arial" w:eastAsia="Arial" w:hAnsi="Arial"/>
                <w:sz w:val="18"/>
                <w:szCs w:val="18"/>
                <w:color w:val="auto"/>
                <w:w w:val="90"/>
              </w:rPr>
              <w:t>For the 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jc w:val="right"/>
              <w:ind w:right="172"/>
              <w:spacing w:after="0"/>
              <w:rPr>
                <w:sz w:val="20"/>
                <w:szCs w:val="20"/>
                <w:color w:val="auto"/>
              </w:rPr>
            </w:pPr>
            <w:r>
              <w:rPr>
                <w:rFonts w:ascii="Arial" w:cs="Arial" w:eastAsia="Arial" w:hAnsi="Arial"/>
                <w:sz w:val="18"/>
                <w:szCs w:val="18"/>
                <w:color w:val="auto"/>
                <w:w w:val="96"/>
              </w:rPr>
              <w:t>For the Nine Months Ended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8"/>
                <w:szCs w:val="18"/>
                <w:color w:val="auto"/>
              </w:rPr>
              <w:t>September 30,</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tcPr>
          <w:p>
            <w:pPr>
              <w:jc w:val="right"/>
              <w:ind w:right="652"/>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99"/>
              </w:rPr>
              <w:t>2003</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2002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652,301</w:t>
            </w:r>
          </w:p>
        </w:tc>
        <w:tc>
          <w:tcPr>
            <w:tcW w:w="9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510,601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1,956,219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1,320,794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(627,766)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12"/>
              <w:spacing w:after="0"/>
              <w:rPr>
                <w:sz w:val="20"/>
                <w:szCs w:val="20"/>
                <w:color w:val="auto"/>
              </w:rPr>
            </w:pPr>
            <w:r>
              <w:rPr>
                <w:rFonts w:ascii="Arial" w:cs="Arial" w:eastAsia="Arial" w:hAnsi="Arial"/>
                <w:sz w:val="18"/>
                <w:szCs w:val="18"/>
                <w:color w:val="auto"/>
                <w:w w:val="90"/>
              </w:rPr>
              <w:t>(490,467)</w:t>
            </w:r>
          </w:p>
        </w:tc>
        <w:tc>
          <w:tcPr>
            <w:tcW w:w="1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w w:val="89"/>
              </w:rPr>
              <w:t>(1,878,891)</w:t>
            </w:r>
          </w:p>
        </w:tc>
        <w:tc>
          <w:tcPr>
            <w:tcW w:w="100" w:type="dxa"/>
            <w:vAlign w:val="bottom"/>
          </w:tcPr>
          <w:p>
            <w:pPr>
              <w:spacing w:after="0"/>
              <w:rPr>
                <w:sz w:val="19"/>
                <w:szCs w:val="19"/>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8"/>
                <w:szCs w:val="18"/>
                <w:color w:val="auto"/>
                <w:w w:val="89"/>
              </w:rPr>
              <w:t>(1,259,408)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77,328</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Salaries and wages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(9,198)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(29,943)</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Executive severance charges</w:t>
            </w:r>
          </w:p>
        </w:tc>
        <w:tc>
          <w:tcPr>
            <w:tcW w:w="140" w:type="dxa"/>
            <w:vAlign w:val="bottom"/>
          </w:tcPr>
          <w:p>
            <w:pPr>
              <w:spacing w:after="0"/>
              <w:rPr>
                <w:sz w:val="18"/>
                <w:szCs w:val="18"/>
                <w:color w:val="auto"/>
              </w:rPr>
            </w:pPr>
          </w:p>
        </w:tc>
        <w:tc>
          <w:tcPr>
            <w:tcW w:w="15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12"/>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8"/>
                <w:szCs w:val="18"/>
                <w:color w:val="auto"/>
              </w:rPr>
            </w:pPr>
          </w:p>
        </w:tc>
        <w:tc>
          <w:tcPr>
            <w:tcW w:w="15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(5,473)</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(6,638)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12"/>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(22,049)</w:t>
            </w:r>
          </w:p>
        </w:tc>
        <w:tc>
          <w:tcPr>
            <w:tcW w:w="100" w:type="dxa"/>
            <w:vAlign w:val="bottom"/>
          </w:tcPr>
          <w:p>
            <w:pPr>
              <w:spacing w:after="0"/>
              <w:rPr>
                <w:sz w:val="19"/>
                <w:szCs w:val="19"/>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8"/>
                <w:szCs w:val="18"/>
                <w:color w:val="auto"/>
              </w:rPr>
              <w:t>(18,192)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(17,371)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(19,029)</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(57,465)</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(48,029)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32"/>
              <w:spacing w:after="0"/>
              <w:rPr>
                <w:sz w:val="20"/>
                <w:szCs w:val="20"/>
                <w:color w:val="auto"/>
              </w:rPr>
            </w:pPr>
            <w:r>
              <w:rPr>
                <w:rFonts w:ascii="Arial" w:cs="Arial" w:eastAsia="Arial" w:hAnsi="Arial"/>
                <w:sz w:val="18"/>
                <w:szCs w:val="18"/>
                <w:color w:val="auto"/>
              </w:rPr>
              <w:t>(1,537)(a)</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ind w:left="340"/>
              <w:spacing w:after="0"/>
              <w:rPr>
                <w:sz w:val="20"/>
                <w:szCs w:val="20"/>
                <w:color w:val="auto"/>
              </w:rPr>
            </w:pPr>
            <w:r>
              <w:rPr>
                <w:rFonts w:ascii="Arial" w:cs="Arial" w:eastAsia="Arial" w:hAnsi="Arial"/>
                <w:sz w:val="18"/>
                <w:szCs w:val="18"/>
                <w:color w:val="auto"/>
                <w:w w:val="88"/>
              </w:rPr>
              <w:t>(1,744)(a)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1,179</w:t>
            </w:r>
          </w:p>
        </w:tc>
        <w:tc>
          <w:tcPr>
            <w:tcW w:w="660" w:type="dxa"/>
            <w:vAlign w:val="bottom"/>
          </w:tcPr>
          <w:p>
            <w:pPr>
              <w:ind w:left="4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9"/>
                <w:szCs w:val="19"/>
                <w:color w:val="auto"/>
              </w:rPr>
            </w:pPr>
          </w:p>
        </w:tc>
        <w:tc>
          <w:tcPr>
            <w:tcW w:w="1060" w:type="dxa"/>
            <w:vAlign w:val="bottom"/>
            <w:gridSpan w:val="3"/>
          </w:tcPr>
          <w:p>
            <w:pPr>
              <w:ind w:left="340"/>
              <w:spacing w:after="0"/>
              <w:rPr>
                <w:sz w:val="20"/>
                <w:szCs w:val="20"/>
                <w:color w:val="auto"/>
              </w:rPr>
            </w:pPr>
            <w:r>
              <w:rPr>
                <w:rFonts w:ascii="Arial" w:cs="Arial" w:eastAsia="Arial" w:hAnsi="Arial"/>
                <w:sz w:val="18"/>
                <w:szCs w:val="18"/>
                <w:color w:val="auto"/>
                <w:w w:val="88"/>
              </w:rPr>
              <w:t>(1,987)(b)</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5,534</w:t>
            </w:r>
          </w:p>
        </w:tc>
        <w:tc>
          <w:tcPr>
            <w:tcW w:w="9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747</w:t>
            </w:r>
          </w:p>
        </w:tc>
        <w:tc>
          <w:tcPr>
            <w:tcW w:w="660" w:type="dxa"/>
            <w:vAlign w:val="bottom"/>
          </w:tcPr>
          <w:p>
            <w:pPr>
              <w:ind w:left="40"/>
              <w:spacing w:after="0"/>
              <w:rPr>
                <w:sz w:val="20"/>
                <w:szCs w:val="20"/>
                <w:color w:val="auto"/>
              </w:rPr>
            </w:pPr>
            <w:r>
              <w:rPr>
                <w:rFonts w:ascii="Arial" w:cs="Arial" w:eastAsia="Arial" w:hAnsi="Arial"/>
                <w:sz w:val="18"/>
                <w:szCs w:val="18"/>
                <w:color w:val="auto"/>
              </w:rPr>
              <w:t>(c)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16,245</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9,626</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0.52</w:t>
            </w:r>
          </w:p>
        </w:tc>
        <w:tc>
          <w:tcPr>
            <w:tcW w:w="9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c>
          <w:tcPr>
            <w:tcW w:w="660" w:type="dxa"/>
            <w:vAlign w:val="bottom"/>
          </w:tcPr>
          <w:p>
            <w:pPr>
              <w:ind w:left="40"/>
              <w:spacing w:after="0"/>
              <w:rPr>
                <w:sz w:val="20"/>
                <w:szCs w:val="20"/>
                <w:color w:val="auto"/>
              </w:rPr>
            </w:pPr>
            <w:r>
              <w:rPr>
                <w:rFonts w:ascii="Arial" w:cs="Arial" w:eastAsia="Arial" w:hAnsi="Arial"/>
                <w:sz w:val="18"/>
                <w:szCs w:val="18"/>
                <w:color w:val="auto"/>
              </w:rPr>
              <w:t>(c)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0.49</w:t>
            </w:r>
          </w:p>
        </w:tc>
        <w:tc>
          <w:tcPr>
            <w:tcW w:w="9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c>
          <w:tcPr>
            <w:tcW w:w="660" w:type="dxa"/>
            <w:vAlign w:val="bottom"/>
          </w:tcPr>
          <w:p>
            <w:pPr>
              <w:ind w:left="40"/>
              <w:spacing w:after="0"/>
              <w:rPr>
                <w:sz w:val="20"/>
                <w:szCs w:val="20"/>
                <w:color w:val="auto"/>
              </w:rPr>
            </w:pPr>
            <w:r>
              <w:rPr>
                <w:rFonts w:ascii="Arial" w:cs="Arial" w:eastAsia="Arial" w:hAnsi="Arial"/>
                <w:sz w:val="18"/>
                <w:szCs w:val="18"/>
                <w:color w:val="auto"/>
              </w:rPr>
              <w:t>(c)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-1504315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-1504315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-1504315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-1504315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-1504315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-1504315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-1504315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-1504315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-1504315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-1504315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-1504315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-1504315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-1066800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-1066800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-1066800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-1066800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-1066800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-1066800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-1066800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-1066800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-1066800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-1066800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-1066800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-1066800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-766445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-766445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-766445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-766445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-766445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-766445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-766445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-766445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-766445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-766445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-766445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-766445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-329565</wp:posOffset>
            </wp:positionV>
            <wp:extent cx="52705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-329565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-329565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-329565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-329565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-329565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-329565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-329565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 a non-recurring charge of $1.6 million, or $970 thousand after-tax, or $0.09 per basic and diluted share, from a debt settlement.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 the impact of the executive severance charges and the non-recurring charge, for which the Company received an income tax benefit.</w:t>
      </w:r>
    </w:p>
    <w:p>
      <w:pPr>
        <w:spacing w:after="0" w:line="32" w:lineRule="exact"/>
        <w:rPr>
          <w:rFonts w:ascii="Arial" w:cs="Arial" w:eastAsia="Arial" w:hAnsi="Arial"/>
          <w:sz w:val="16"/>
          <w:szCs w:val="16"/>
          <w:color w:val="auto"/>
        </w:rPr>
      </w:pPr>
    </w:p>
    <w:p>
      <w:pPr>
        <w:ind w:left="460" w:right="100" w:hanging="452"/>
        <w:spacing w:after="0" w:line="32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 $2.8 million after-tax charges, or $0.26 and $0.27 per basic share for the three and nine months ended September 30, 2002, respectively, and $0.25 per diluted share, from executive severance for the former Chairman of the Board of Directors and four other executives.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 – MORE – MORE</w:t>
      </w:r>
    </w:p>
    <w:p>
      <w:pPr>
        <w:sectPr>
          <w:pgSz w:w="11900" w:h="16838" w:orient="portrait"/>
          <w:cols w:equalWidth="0" w:num="1">
            <w:col w:w="11420"/>
          </w:cols>
          <w:pgMar w:left="240" w:top="280" w:right="239" w:bottom="1440" w:gutter="0" w:footer="0" w:header="0"/>
        </w:sectPr>
      </w:pPr>
    </w:p>
    <w:bookmarkStart w:id="6" w:name="page7"/>
    <w:bookmarkEnd w:id="6"/>
    <w:p>
      <w:pPr>
        <w:ind w:left="20" w:right="5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REPORTS STRONG THIRD QUARTER RESULTS Page 4-4-4</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World Fuel Services Corporation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Condensed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000" w:type="dxa"/>
            <w:vAlign w:val="bottom"/>
            <w:gridSpan w:val="3"/>
          </w:tcPr>
          <w:p>
            <w:pPr>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2003</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40" w:type="dxa"/>
            <w:vAlign w:val="bottom"/>
            <w:gridSpan w:val="3"/>
          </w:tcPr>
          <w:p>
            <w:pPr>
              <w:ind w:left="8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CURRENT ASSETS:</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3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Accounts and notes receivable, net</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167,552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27,460</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Goodwill, net</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34,003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6,922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3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326,258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CURRENT LIABILITIES:</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debt</w:t>
            </w:r>
          </w:p>
        </w:tc>
        <w:tc>
          <w:tcPr>
            <w:tcW w:w="43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100,342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21,741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174,263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8,872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143,123</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3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326,258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160" w:type="dxa"/>
            <w:vAlign w:val="bottom"/>
            <w:vMerge w:val="restart"/>
          </w:tcPr>
          <w:p>
            <w:pPr>
              <w:ind w:left="840"/>
              <w:spacing w:after="0"/>
              <w:rPr>
                <w:sz w:val="20"/>
                <w:szCs w:val="20"/>
                <w:color w:val="auto"/>
              </w:rPr>
            </w:pPr>
            <w:r>
              <w:rPr>
                <w:rFonts w:ascii="Arial" w:cs="Arial" w:eastAsia="Arial" w:hAnsi="Arial"/>
                <w:sz w:val="18"/>
                <w:szCs w:val="18"/>
                <w:color w:val="auto"/>
              </w:rPr>
              <w:t># # # #</w:t>
            </w: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-2478405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-2478405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-2478405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-2478405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-2478405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-2478405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sectPr>
      <w:pgSz w:w="11900" w:h="16838" w:orient="portrait"/>
      <w:cols w:equalWidth="0" w:num="1">
        <w:col w:w="11440"/>
      </w:cols>
      <w:pgMar w:left="240" w:top="2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2019-12-13T16:35:24Z</dcterms:created>
  <dcterms:modified xsi:type="dcterms:W3CDTF">2019-12-13T16:35:24Z</dcterms:modified>
</cp:coreProperties>
</file>