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126" w:lineRule="exact"/>
        <w:rPr>
          <w:sz w:val="24"/>
          <w:szCs w:val="24"/>
          <w:color w:val="auto"/>
        </w:rPr>
      </w:pPr>
    </w:p>
    <w:p>
      <w:pPr>
        <w:ind w:left="540" w:hanging="246"/>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QUARTERLY REPORT PURSUANT TO SECTION 13 OR 15(d) OF THE SECURITIES EXCHANGE ACT OF 1934</w:t>
      </w:r>
    </w:p>
    <w:p>
      <w:pPr>
        <w:spacing w:after="0" w:line="179"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 the quarterly period ended June 30, 2023</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OR</w:t>
      </w:r>
    </w:p>
    <w:p>
      <w:pPr>
        <w:spacing w:after="0" w:line="126" w:lineRule="exact"/>
        <w:rPr>
          <w:sz w:val="24"/>
          <w:szCs w:val="24"/>
          <w:color w:val="auto"/>
        </w:rPr>
      </w:pPr>
    </w:p>
    <w:p>
      <w:pPr>
        <w:ind w:left="540" w:hanging="330"/>
        <w:spacing w:after="0"/>
        <w:tabs>
          <w:tab w:leader="none" w:pos="5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15(d) OF THE SECURITIES EXCHANGE ACT OF 1934</w:t>
      </w:r>
    </w:p>
    <w:p>
      <w:pPr>
        <w:spacing w:after="0" w:line="154"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For the transition period from __________ to ___________</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71120</wp:posOffset>
            </wp:positionV>
            <wp:extent cx="1010285" cy="545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0285" cy="545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WORLD KINECT CORPORATION</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118" w:lineRule="exact"/>
        <w:rPr>
          <w:sz w:val="24"/>
          <w:szCs w:val="24"/>
          <w:color w:val="auto"/>
        </w:rPr>
      </w:pPr>
    </w:p>
    <w:tbl>
      <w:tblPr>
        <w:tblLayout w:type="fixed"/>
        <w:tblInd w:w="600" w:type="dxa"/>
        <w:tblCellMar>
          <w:top w:w="0" w:type="dxa"/>
          <w:left w:w="0" w:type="dxa"/>
          <w:bottom w:w="0" w:type="dxa"/>
          <w:right w:w="0" w:type="dxa"/>
        </w:tblCellMar>
      </w:tblPr>
      <w:tr>
        <w:trPr>
          <w:trHeight w:val="177"/>
        </w:trPr>
        <w:tc>
          <w:tcPr>
            <w:tcW w:w="500" w:type="dxa"/>
            <w:vAlign w:val="bottom"/>
          </w:tcPr>
          <w:p>
            <w:pPr>
              <w:spacing w:after="0"/>
              <w:rPr>
                <w:sz w:val="15"/>
                <w:szCs w:val="15"/>
                <w:color w:val="auto"/>
              </w:rPr>
            </w:pPr>
          </w:p>
        </w:tc>
        <w:tc>
          <w:tcPr>
            <w:tcW w:w="2180" w:type="dxa"/>
            <w:vAlign w:val="bottom"/>
            <w:gridSpan w:val="2"/>
          </w:tcPr>
          <w:p>
            <w:pPr>
              <w:jc w:val="center"/>
              <w:ind w:right="1280"/>
              <w:spacing w:after="0"/>
              <w:rPr>
                <w:sz w:val="20"/>
                <w:szCs w:val="20"/>
                <w:color w:val="auto"/>
              </w:rPr>
            </w:pPr>
            <w:r>
              <w:rPr>
                <w:rFonts w:ascii="Arial" w:cs="Arial" w:eastAsia="Arial" w:hAnsi="Arial"/>
                <w:sz w:val="13"/>
                <w:szCs w:val="13"/>
                <w:b w:val="1"/>
                <w:bCs w:val="1"/>
                <w:color w:val="auto"/>
                <w:w w:val="96"/>
              </w:rPr>
              <w:t>Florida</w:t>
            </w:r>
          </w:p>
        </w:tc>
        <w:tc>
          <w:tcPr>
            <w:tcW w:w="2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9800 N.W. 41st Street,</w:t>
            </w:r>
          </w:p>
        </w:tc>
        <w:tc>
          <w:tcPr>
            <w:tcW w:w="800" w:type="dxa"/>
            <w:vAlign w:val="bottom"/>
            <w:gridSpan w:val="2"/>
          </w:tcPr>
          <w:p>
            <w:pPr>
              <w:ind w:left="260"/>
              <w:spacing w:after="0"/>
              <w:rPr>
                <w:sz w:val="20"/>
                <w:szCs w:val="20"/>
                <w:color w:val="auto"/>
              </w:rPr>
            </w:pPr>
            <w:r>
              <w:rPr>
                <w:rFonts w:ascii="Arial" w:cs="Arial" w:eastAsia="Arial" w:hAnsi="Arial"/>
                <w:sz w:val="13"/>
                <w:szCs w:val="13"/>
                <w:b w:val="1"/>
                <w:bCs w:val="1"/>
                <w:color w:val="auto"/>
              </w:rPr>
              <w:t>Miami,</w:t>
            </w:r>
          </w:p>
        </w:tc>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Florida</w:t>
            </w:r>
          </w:p>
        </w:tc>
        <w:tc>
          <w:tcPr>
            <w:tcW w:w="880" w:type="dxa"/>
            <w:vAlign w:val="bottom"/>
          </w:tcPr>
          <w:p>
            <w:pPr>
              <w:jc w:val="right"/>
              <w:ind w:right="316"/>
              <w:spacing w:after="0"/>
              <w:rPr>
                <w:sz w:val="20"/>
                <w:szCs w:val="20"/>
                <w:color w:val="auto"/>
              </w:rPr>
            </w:pPr>
            <w:r>
              <w:rPr>
                <w:rFonts w:ascii="Arial" w:cs="Arial" w:eastAsia="Arial" w:hAnsi="Arial"/>
                <w:sz w:val="13"/>
                <w:szCs w:val="13"/>
                <w:b w:val="1"/>
                <w:bCs w:val="1"/>
                <w:color w:val="auto"/>
              </w:rPr>
              <w:t>33178</w:t>
            </w:r>
          </w:p>
        </w:tc>
        <w:tc>
          <w:tcPr>
            <w:tcW w:w="2600" w:type="dxa"/>
            <w:vAlign w:val="bottom"/>
            <w:gridSpan w:val="2"/>
          </w:tcPr>
          <w:p>
            <w:pPr>
              <w:jc w:val="center"/>
              <w:ind w:left="300"/>
              <w:spacing w:after="0"/>
              <w:rPr>
                <w:sz w:val="20"/>
                <w:szCs w:val="20"/>
                <w:color w:val="auto"/>
              </w:rPr>
            </w:pPr>
            <w:r>
              <w:rPr>
                <w:rFonts w:ascii="Arial" w:cs="Arial" w:eastAsia="Arial" w:hAnsi="Arial"/>
                <w:sz w:val="13"/>
                <w:szCs w:val="13"/>
                <w:b w:val="1"/>
                <w:bCs w:val="1"/>
                <w:color w:val="auto"/>
                <w:w w:val="97"/>
              </w:rPr>
              <w:t>59-2459427</w:t>
            </w:r>
          </w:p>
        </w:tc>
      </w:tr>
      <w:tr>
        <w:trPr>
          <w:trHeight w:val="119"/>
        </w:trPr>
        <w:tc>
          <w:tcPr>
            <w:tcW w:w="2680" w:type="dxa"/>
            <w:vAlign w:val="bottom"/>
            <w:gridSpan w:val="3"/>
          </w:tcPr>
          <w:p>
            <w:pPr>
              <w:jc w:val="center"/>
              <w:ind w:right="780"/>
              <w:spacing w:after="0" w:line="120" w:lineRule="exact"/>
              <w:rPr>
                <w:sz w:val="20"/>
                <w:szCs w:val="20"/>
                <w:color w:val="auto"/>
              </w:rPr>
            </w:pPr>
            <w:r>
              <w:rPr>
                <w:rFonts w:ascii="Arial" w:cs="Arial" w:eastAsia="Arial" w:hAnsi="Arial"/>
                <w:sz w:val="11"/>
                <w:szCs w:val="11"/>
                <w:color w:val="auto"/>
              </w:rPr>
              <w:t>(State or other jurisdiction of</w:t>
            </w:r>
          </w:p>
        </w:tc>
        <w:tc>
          <w:tcPr>
            <w:tcW w:w="4100" w:type="dxa"/>
            <w:vAlign w:val="bottom"/>
            <w:gridSpan w:val="5"/>
          </w:tcPr>
          <w:p>
            <w:pPr>
              <w:jc w:val="center"/>
              <w:ind w:left="559"/>
              <w:spacing w:after="0" w:line="120" w:lineRule="exact"/>
              <w:rPr>
                <w:sz w:val="20"/>
                <w:szCs w:val="20"/>
                <w:color w:val="auto"/>
              </w:rPr>
            </w:pPr>
            <w:r>
              <w:rPr>
                <w:rFonts w:ascii="Arial" w:cs="Arial" w:eastAsia="Arial" w:hAnsi="Arial"/>
                <w:sz w:val="11"/>
                <w:szCs w:val="11"/>
                <w:color w:val="auto"/>
              </w:rPr>
              <w:t>(Address of Principal Executive Offices) (Zip Code)</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40" w:type="dxa"/>
            <w:vAlign w:val="bottom"/>
          </w:tcPr>
          <w:p>
            <w:pPr>
              <w:jc w:val="center"/>
              <w:spacing w:after="0" w:line="120" w:lineRule="exact"/>
              <w:rPr>
                <w:sz w:val="20"/>
                <w:szCs w:val="20"/>
                <w:color w:val="auto"/>
              </w:rPr>
            </w:pPr>
            <w:r>
              <w:rPr>
                <w:rFonts w:ascii="Arial" w:cs="Arial" w:eastAsia="Arial" w:hAnsi="Arial"/>
                <w:sz w:val="11"/>
                <w:szCs w:val="11"/>
                <w:color w:val="auto"/>
              </w:rPr>
              <w:t>(I.R.S. Employer</w:t>
            </w:r>
          </w:p>
        </w:tc>
      </w:tr>
      <w:tr>
        <w:trPr>
          <w:trHeight w:val="144"/>
        </w:trPr>
        <w:tc>
          <w:tcPr>
            <w:tcW w:w="2680" w:type="dxa"/>
            <w:vAlign w:val="bottom"/>
            <w:gridSpan w:val="3"/>
          </w:tcPr>
          <w:p>
            <w:pPr>
              <w:jc w:val="center"/>
              <w:ind w:right="780"/>
              <w:spacing w:after="0"/>
              <w:rPr>
                <w:sz w:val="20"/>
                <w:szCs w:val="20"/>
                <w:color w:val="auto"/>
              </w:rPr>
            </w:pPr>
            <w:r>
              <w:rPr>
                <w:rFonts w:ascii="Arial" w:cs="Arial" w:eastAsia="Arial" w:hAnsi="Arial"/>
                <w:sz w:val="11"/>
                <w:szCs w:val="11"/>
                <w:color w:val="auto"/>
              </w:rPr>
              <w:t>incorporation or organization)</w:t>
            </w: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rPr>
              <w:t>Identification No.)</w:t>
            </w:r>
          </w:p>
        </w:tc>
      </w:tr>
      <w:tr>
        <w:trPr>
          <w:trHeight w:val="362"/>
        </w:trPr>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305  )</w:t>
            </w:r>
          </w:p>
        </w:tc>
        <w:tc>
          <w:tcPr>
            <w:tcW w:w="680" w:type="dxa"/>
            <w:vAlign w:val="bottom"/>
          </w:tcPr>
          <w:p>
            <w:pPr>
              <w:jc w:val="right"/>
              <w:ind w:right="76"/>
              <w:spacing w:after="0"/>
              <w:rPr>
                <w:sz w:val="20"/>
                <w:szCs w:val="20"/>
                <w:color w:val="auto"/>
              </w:rPr>
            </w:pPr>
            <w:r>
              <w:rPr>
                <w:rFonts w:ascii="Arial" w:cs="Arial" w:eastAsia="Arial" w:hAnsi="Arial"/>
                <w:sz w:val="13"/>
                <w:szCs w:val="13"/>
                <w:b w:val="1"/>
                <w:bCs w:val="1"/>
                <w:color w:val="auto"/>
                <w:w w:val="94"/>
              </w:rPr>
              <w:t>428-8000</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100" w:type="dxa"/>
            <w:vAlign w:val="bottom"/>
            <w:gridSpan w:val="5"/>
          </w:tcPr>
          <w:p>
            <w:pPr>
              <w:jc w:val="center"/>
              <w:ind w:left="579"/>
              <w:spacing w:after="0"/>
              <w:rPr>
                <w:sz w:val="20"/>
                <w:szCs w:val="20"/>
                <w:color w:val="auto"/>
              </w:rPr>
            </w:pPr>
            <w:r>
              <w:rPr>
                <w:rFonts w:ascii="Arial" w:cs="Arial" w:eastAsia="Arial" w:hAnsi="Arial"/>
                <w:sz w:val="13"/>
                <w:szCs w:val="13"/>
                <w:color w:val="auto"/>
                <w:w w:val="97"/>
              </w:rPr>
              <w:t>Registrant’s telephone number, including area code</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82"/>
        </w:trPr>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00" w:type="dxa"/>
            <w:vAlign w:val="bottom"/>
            <w:gridSpan w:val="5"/>
          </w:tcPr>
          <w:p>
            <w:pPr>
              <w:jc w:val="center"/>
              <w:ind w:left="559"/>
              <w:spacing w:after="0"/>
              <w:rPr>
                <w:sz w:val="20"/>
                <w:szCs w:val="20"/>
                <w:color w:val="auto"/>
              </w:rPr>
            </w:pPr>
            <w:r>
              <w:rPr>
                <w:rFonts w:ascii="Arial" w:cs="Arial" w:eastAsia="Arial" w:hAnsi="Arial"/>
                <w:sz w:val="13"/>
                <w:szCs w:val="13"/>
                <w:color w:val="auto"/>
                <w:w w:val="97"/>
              </w:rPr>
              <w:t>Securities registered pursuant to Section 12(b) of the Act</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32"/>
        </w:trPr>
        <w:tc>
          <w:tcPr>
            <w:tcW w:w="500" w:type="dxa"/>
            <w:vAlign w:val="bottom"/>
          </w:tcPr>
          <w:p>
            <w:pPr>
              <w:spacing w:after="0"/>
              <w:rPr>
                <w:sz w:val="11"/>
                <w:szCs w:val="11"/>
                <w:color w:val="auto"/>
              </w:rPr>
            </w:pPr>
          </w:p>
        </w:tc>
        <w:tc>
          <w:tcPr>
            <w:tcW w:w="2180" w:type="dxa"/>
            <w:vAlign w:val="bottom"/>
            <w:gridSpan w:val="2"/>
          </w:tcPr>
          <w:p>
            <w:pPr>
              <w:jc w:val="center"/>
              <w:ind w:right="1280"/>
              <w:spacing w:after="0"/>
              <w:rPr>
                <w:sz w:val="20"/>
                <w:szCs w:val="20"/>
                <w:color w:val="auto"/>
              </w:rPr>
            </w:pPr>
            <w:r>
              <w:rPr>
                <w:rFonts w:ascii="Arial" w:cs="Arial" w:eastAsia="Arial" w:hAnsi="Arial"/>
                <w:sz w:val="11"/>
                <w:szCs w:val="11"/>
                <w:color w:val="auto"/>
              </w:rPr>
              <w:t>Title of each class</w:t>
            </w:r>
          </w:p>
        </w:tc>
        <w:tc>
          <w:tcPr>
            <w:tcW w:w="2960" w:type="dxa"/>
            <w:vAlign w:val="bottom"/>
            <w:gridSpan w:val="4"/>
          </w:tcPr>
          <w:p>
            <w:pPr>
              <w:jc w:val="center"/>
              <w:ind w:left="1699"/>
              <w:spacing w:after="0"/>
              <w:rPr>
                <w:sz w:val="20"/>
                <w:szCs w:val="20"/>
                <w:color w:val="auto"/>
              </w:rPr>
            </w:pPr>
            <w:r>
              <w:rPr>
                <w:rFonts w:ascii="Arial" w:cs="Arial" w:eastAsia="Arial" w:hAnsi="Arial"/>
                <w:sz w:val="11"/>
                <w:szCs w:val="11"/>
                <w:color w:val="auto"/>
              </w:rPr>
              <w:t>Trading Symbol (s)</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0" w:type="dxa"/>
            <w:vAlign w:val="bottom"/>
            <w:gridSpan w:val="2"/>
          </w:tcPr>
          <w:p>
            <w:pPr>
              <w:jc w:val="center"/>
              <w:ind w:left="300"/>
              <w:spacing w:after="0"/>
              <w:rPr>
                <w:sz w:val="20"/>
                <w:szCs w:val="20"/>
                <w:color w:val="auto"/>
              </w:rPr>
            </w:pPr>
            <w:r>
              <w:rPr>
                <w:rFonts w:ascii="Arial" w:cs="Arial" w:eastAsia="Arial" w:hAnsi="Arial"/>
                <w:sz w:val="11"/>
                <w:szCs w:val="11"/>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85"/>
        </w:trPr>
        <w:tc>
          <w:tcPr>
            <w:tcW w:w="2680" w:type="dxa"/>
            <w:vAlign w:val="bottom"/>
            <w:gridSpan w:val="3"/>
          </w:tcPr>
          <w:p>
            <w:pPr>
              <w:jc w:val="center"/>
              <w:ind w:right="760"/>
              <w:spacing w:after="0"/>
              <w:rPr>
                <w:sz w:val="20"/>
                <w:szCs w:val="20"/>
                <w:color w:val="auto"/>
              </w:rPr>
            </w:pPr>
            <w:r>
              <w:rPr>
                <w:rFonts w:ascii="Arial" w:cs="Arial" w:eastAsia="Arial" w:hAnsi="Arial"/>
                <w:sz w:val="13"/>
                <w:szCs w:val="13"/>
                <w:b w:val="1"/>
                <w:bCs w:val="1"/>
                <w:color w:val="auto"/>
                <w:w w:val="98"/>
              </w:rPr>
              <w:t>Common Stock, $0.01 par value</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WKC</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6"/>
              </w:rPr>
              <w:t>New York Stock Exchange</w:t>
            </w:r>
          </w:p>
        </w:tc>
      </w:tr>
    </w:tbl>
    <w:p>
      <w:pPr>
        <w:spacing w:after="0" w:line="181" w:lineRule="exact"/>
        <w:rPr>
          <w:sz w:val="24"/>
          <w:szCs w:val="24"/>
          <w:color w:val="auto"/>
        </w:rPr>
      </w:pPr>
    </w:p>
    <w:p>
      <w:pPr>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spacing w:after="0" w:line="16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6" w:lineRule="exact"/>
        <w:rPr>
          <w:sz w:val="24"/>
          <w:szCs w:val="24"/>
          <w:color w:val="auto"/>
        </w:rPr>
      </w:pPr>
    </w:p>
    <w:p>
      <w:pPr>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p>
      <w:pPr>
        <w:ind w:left="40"/>
        <w:spacing w:after="0" w:line="150" w:lineRule="exact"/>
        <w:tabs>
          <w:tab w:leader="none" w:pos="1540" w:val="left"/>
          <w:tab w:leader="none" w:pos="2700" w:val="left"/>
          <w:tab w:leader="none" w:pos="41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ab/>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159" w:lineRule="exact"/>
        <w:rPr>
          <w:sz w:val="24"/>
          <w:szCs w:val="24"/>
          <w:color w:val="auto"/>
        </w:rPr>
      </w:pPr>
    </w:p>
    <w:p>
      <w:pPr>
        <w:spacing w:after="0" w:line="16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3" w:lineRule="exact"/>
        <w:rPr>
          <w:sz w:val="24"/>
          <w:szCs w:val="24"/>
          <w:color w:val="auto"/>
        </w:rPr>
      </w:pPr>
    </w:p>
    <w:p>
      <w:pPr>
        <w:spacing w:after="0" w:line="150" w:lineRule="exact"/>
        <w:tabs>
          <w:tab w:leader="none" w:pos="68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The registrant had a total of 60,197,313 shares of common stock, par value $0.01 per share, issued and outstanding as of July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516255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6" w:right="3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TABLE OF CONTENTS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 w:type="dxa"/>
            <w:vAlign w:val="bottom"/>
            <w:tcBorders>
              <w:bottom w:val="single" w:sz="8" w:color="0E32E1"/>
            </w:tcBorders>
            <w:gridSpan w:val="2"/>
          </w:tcPr>
          <w:p>
            <w:pPr>
              <w:spacing w:after="0"/>
              <w:rPr>
                <w:sz w:val="20"/>
                <w:szCs w:val="20"/>
                <w:color w:val="auto"/>
              </w:rPr>
            </w:pPr>
            <w:r>
              <w:rPr>
                <w:rFonts w:ascii="Arial" w:cs="Arial" w:eastAsia="Arial" w:hAnsi="Arial"/>
                <w:sz w:val="14"/>
                <w:szCs w:val="14"/>
                <w:b w:val="1"/>
                <w:bCs w:val="1"/>
                <w:color w:val="0E32E1"/>
                <w:w w:val="96"/>
              </w:rPr>
              <w:t>PART I.</w:t>
            </w:r>
          </w:p>
        </w:tc>
        <w:tc>
          <w:tcPr>
            <w:tcW w:w="560" w:type="dxa"/>
            <w:vAlign w:val="bottom"/>
            <w:gridSpan w:val="2"/>
          </w:tcPr>
          <w:p>
            <w:pPr>
              <w:spacing w:after="0"/>
              <w:rPr>
                <w:sz w:val="14"/>
                <w:szCs w:val="14"/>
                <w:color w:val="auto"/>
              </w:rPr>
            </w:pPr>
          </w:p>
        </w:tc>
        <w:tc>
          <w:tcPr>
            <w:tcW w:w="1320" w:type="dxa"/>
            <w:vAlign w:val="bottom"/>
            <w:tcBorders>
              <w:bottom w:val="single" w:sz="8" w:color="0E32E1"/>
            </w:tcBorders>
            <w:gridSpan w:val="4"/>
          </w:tcPr>
          <w:p>
            <w:pPr>
              <w:spacing w:after="0"/>
              <w:rPr>
                <w:sz w:val="20"/>
                <w:szCs w:val="20"/>
                <w:color w:val="auto"/>
              </w:rPr>
            </w:pPr>
            <w:r>
              <w:rPr>
                <w:rFonts w:ascii="Arial" w:cs="Arial" w:eastAsia="Arial" w:hAnsi="Arial"/>
                <w:sz w:val="14"/>
                <w:szCs w:val="14"/>
                <w:color w:val="0E32E1"/>
              </w:rPr>
              <w:t>Financial Information</w:t>
            </w:r>
          </w:p>
        </w:tc>
        <w:tc>
          <w:tcPr>
            <w:tcW w:w="7380" w:type="dxa"/>
            <w:vAlign w:val="bottom"/>
            <w:gridSpan w:val="9"/>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40" w:type="dxa"/>
            <w:vAlign w:val="bottom"/>
          </w:tcPr>
          <w:p>
            <w:pPr>
              <w:spacing w:after="0"/>
              <w:rPr>
                <w:sz w:val="20"/>
                <w:szCs w:val="20"/>
                <w:color w:val="auto"/>
              </w:rPr>
            </w:pPr>
            <w:r>
              <w:rPr>
                <w:rFonts w:ascii="Arial" w:cs="Arial" w:eastAsia="Arial" w:hAnsi="Arial"/>
                <w:sz w:val="14"/>
                <w:szCs w:val="14"/>
                <w:color w:val="0E32E1"/>
                <w:w w:val="98"/>
              </w:rPr>
              <w:t>Item 1.</w:t>
            </w:r>
          </w:p>
        </w:tc>
        <w:tc>
          <w:tcPr>
            <w:tcW w:w="620" w:type="dxa"/>
            <w:vAlign w:val="bottom"/>
            <w:gridSpan w:val="3"/>
          </w:tcPr>
          <w:p>
            <w:pPr>
              <w:spacing w:after="0"/>
              <w:rPr>
                <w:sz w:val="14"/>
                <w:szCs w:val="14"/>
                <w:color w:val="auto"/>
              </w:rPr>
            </w:pPr>
          </w:p>
        </w:tc>
        <w:tc>
          <w:tcPr>
            <w:tcW w:w="8700" w:type="dxa"/>
            <w:vAlign w:val="bottom"/>
            <w:gridSpan w:val="13"/>
          </w:tcPr>
          <w:p>
            <w:pPr>
              <w:spacing w:after="0"/>
              <w:rPr>
                <w:sz w:val="20"/>
                <w:szCs w:val="20"/>
                <w:color w:val="auto"/>
              </w:rPr>
            </w:pPr>
            <w:r>
              <w:rPr>
                <w:rFonts w:ascii="Arial" w:cs="Arial" w:eastAsia="Arial" w:hAnsi="Arial"/>
                <w:sz w:val="14"/>
                <w:szCs w:val="14"/>
                <w:color w:val="0E32E1"/>
              </w:rPr>
              <w:t>Financial Statements (Unaudited)</w:t>
            </w:r>
          </w:p>
        </w:tc>
        <w:tc>
          <w:tcPr>
            <w:tcW w:w="1140" w:type="dxa"/>
            <w:vAlign w:val="bottom"/>
          </w:tcPr>
          <w:p>
            <w:pPr>
              <w:spacing w:after="0"/>
              <w:rPr>
                <w:sz w:val="14"/>
                <w:szCs w:val="14"/>
                <w:color w:val="auto"/>
              </w:rPr>
            </w:pPr>
          </w:p>
        </w:tc>
      </w:tr>
      <w:tr>
        <w:trPr>
          <w:trHeight w:val="20"/>
        </w:trPr>
        <w:tc>
          <w:tcPr>
            <w:tcW w:w="4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700" w:type="dxa"/>
            <w:vAlign w:val="bottom"/>
            <w:gridSpan w:val="13"/>
          </w:tcPr>
          <w:p>
            <w:pPr>
              <w:spacing w:after="0"/>
              <w:rPr>
                <w:sz w:val="20"/>
                <w:szCs w:val="20"/>
                <w:color w:val="auto"/>
              </w:rPr>
            </w:pPr>
            <w:r>
              <w:rPr>
                <w:rFonts w:ascii="Arial" w:cs="Arial" w:eastAsia="Arial" w:hAnsi="Arial"/>
                <w:sz w:val="14"/>
                <w:szCs w:val="14"/>
                <w:color w:val="0E32E1"/>
              </w:rPr>
              <w:t>Condensed Consolidated Balance Sheets as of June 30, 2023 and December 31, 2022</w:t>
            </w: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76"/>
              </w:rPr>
              <w:t>1</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6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6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700" w:type="dxa"/>
            <w:vAlign w:val="bottom"/>
            <w:gridSpan w:val="13"/>
          </w:tcPr>
          <w:p>
            <w:pPr>
              <w:spacing w:after="0"/>
              <w:rPr>
                <w:sz w:val="20"/>
                <w:szCs w:val="20"/>
                <w:color w:val="auto"/>
              </w:rPr>
            </w:pPr>
            <w:r>
              <w:rPr>
                <w:rFonts w:ascii="Arial" w:cs="Arial" w:eastAsia="Arial" w:hAnsi="Arial"/>
                <w:sz w:val="14"/>
                <w:szCs w:val="14"/>
                <w:color w:val="0E32E1"/>
              </w:rPr>
              <w:t>Condensed Consolidated Statements of Income and Comprehensive Income for the Three and Six Months Ended June 30, 2023 and 2022</w:t>
            </w: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76"/>
              </w:rPr>
              <w:t>2</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180" w:type="dxa"/>
            <w:vAlign w:val="bottom"/>
            <w:tcBorders>
              <w:right w:val="single" w:sz="8" w:color="0E32E1"/>
            </w:tcBorders>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740" w:type="dxa"/>
            <w:vAlign w:val="bottom"/>
            <w:gridSpan w:val="2"/>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24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71"/>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700" w:type="dxa"/>
            <w:vAlign w:val="bottom"/>
            <w:gridSpan w:val="13"/>
          </w:tcPr>
          <w:p>
            <w:pPr>
              <w:spacing w:after="0"/>
              <w:rPr>
                <w:sz w:val="20"/>
                <w:szCs w:val="20"/>
                <w:color w:val="auto"/>
              </w:rPr>
            </w:pPr>
            <w:r>
              <w:rPr>
                <w:rFonts w:ascii="Arial" w:cs="Arial" w:eastAsia="Arial" w:hAnsi="Arial"/>
                <w:sz w:val="14"/>
                <w:szCs w:val="14"/>
                <w:color w:val="0E32E1"/>
              </w:rPr>
              <w:t>Condensed Consolidated Statements of Shareholders' Equity for the Three and Six Months Ended June 30, 2023 and 2022</w:t>
            </w: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76"/>
              </w:rPr>
              <w:t>3</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180" w:type="dxa"/>
            <w:vAlign w:val="bottom"/>
            <w:tcBorders>
              <w:right w:val="single" w:sz="8" w:color="0E32E1"/>
            </w:tcBorders>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740" w:type="dxa"/>
            <w:vAlign w:val="bottom"/>
            <w:gridSpan w:val="2"/>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240" w:type="dxa"/>
            <w:vAlign w:val="bottom"/>
            <w:shd w:val="clear" w:color="auto" w:fill="0E32E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80" w:type="dxa"/>
            <w:vAlign w:val="bottom"/>
            <w:gridSpan w:val="11"/>
          </w:tcPr>
          <w:p>
            <w:pPr>
              <w:spacing w:after="0"/>
              <w:rPr>
                <w:sz w:val="20"/>
                <w:szCs w:val="20"/>
                <w:color w:val="auto"/>
              </w:rPr>
            </w:pPr>
            <w:r>
              <w:rPr>
                <w:rFonts w:ascii="Arial" w:cs="Arial" w:eastAsia="Arial" w:hAnsi="Arial"/>
                <w:sz w:val="14"/>
                <w:szCs w:val="14"/>
                <w:color w:val="0E32E1"/>
              </w:rPr>
              <w:t>Condensed Consolidated Statements of Cash Flows for the Six Months Ended June 30, 2023 and 2022</w:t>
            </w: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76"/>
              </w:rPr>
              <w:t>5</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180" w:type="dxa"/>
            <w:vAlign w:val="bottom"/>
            <w:tcBorders>
              <w:right w:val="single" w:sz="8" w:color="0E32E1"/>
            </w:tcBorders>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740" w:type="dxa"/>
            <w:vAlign w:val="bottom"/>
            <w:gridSpan w:val="2"/>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760" w:type="dxa"/>
            <w:vAlign w:val="bottom"/>
            <w:gridSpan w:val="7"/>
          </w:tcPr>
          <w:p>
            <w:pPr>
              <w:spacing w:after="0"/>
              <w:rPr>
                <w:sz w:val="20"/>
                <w:szCs w:val="20"/>
                <w:color w:val="auto"/>
              </w:rPr>
            </w:pPr>
            <w:r>
              <w:rPr>
                <w:rFonts w:ascii="Arial" w:cs="Arial" w:eastAsia="Arial" w:hAnsi="Arial"/>
                <w:sz w:val="14"/>
                <w:szCs w:val="14"/>
                <w:color w:val="0E32E1"/>
              </w:rPr>
              <w:t>Notes to the Condensed Consolidated Financial Statements</w:t>
            </w:r>
          </w:p>
        </w:tc>
        <w:tc>
          <w:tcPr>
            <w:tcW w:w="2720" w:type="dxa"/>
            <w:vAlign w:val="bottom"/>
            <w:gridSpan w:val="4"/>
          </w:tcPr>
          <w:p>
            <w:pPr>
              <w:spacing w:after="0"/>
              <w:rPr>
                <w:sz w:val="13"/>
                <w:szCs w:val="13"/>
                <w:color w:val="auto"/>
              </w:rPr>
            </w:pPr>
          </w:p>
        </w:tc>
        <w:tc>
          <w:tcPr>
            <w:tcW w:w="2220" w:type="dxa"/>
            <w:vAlign w:val="bottom"/>
            <w:gridSpan w:val="2"/>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76"/>
              </w:rPr>
              <w:t>6</w:t>
            </w:r>
          </w:p>
        </w:tc>
      </w:tr>
      <w:tr>
        <w:trPr>
          <w:trHeight w:val="20"/>
        </w:trPr>
        <w:tc>
          <w:tcPr>
            <w:tcW w:w="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180" w:type="dxa"/>
            <w:vAlign w:val="bottom"/>
            <w:tcBorders>
              <w:right w:val="single" w:sz="8" w:color="0E32E1"/>
            </w:tcBorders>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60"/>
        </w:trPr>
        <w:tc>
          <w:tcPr>
            <w:tcW w:w="440" w:type="dxa"/>
            <w:vAlign w:val="bottom"/>
          </w:tcPr>
          <w:p>
            <w:pPr>
              <w:spacing w:after="0"/>
              <w:rPr>
                <w:sz w:val="20"/>
                <w:szCs w:val="20"/>
                <w:color w:val="auto"/>
              </w:rPr>
            </w:pPr>
            <w:r>
              <w:rPr>
                <w:rFonts w:ascii="Arial" w:cs="Arial" w:eastAsia="Arial" w:hAnsi="Arial"/>
                <w:sz w:val="14"/>
                <w:szCs w:val="14"/>
                <w:color w:val="0E32E1"/>
                <w:w w:val="98"/>
              </w:rPr>
              <w:t>Item 2.</w:t>
            </w:r>
          </w:p>
        </w:tc>
        <w:tc>
          <w:tcPr>
            <w:tcW w:w="620" w:type="dxa"/>
            <w:vAlign w:val="bottom"/>
            <w:gridSpan w:val="3"/>
          </w:tcPr>
          <w:p>
            <w:pPr>
              <w:spacing w:after="0"/>
              <w:rPr>
                <w:sz w:val="13"/>
                <w:szCs w:val="13"/>
                <w:color w:val="auto"/>
              </w:rPr>
            </w:pPr>
          </w:p>
        </w:tc>
        <w:tc>
          <w:tcPr>
            <w:tcW w:w="5560" w:type="dxa"/>
            <w:vAlign w:val="bottom"/>
            <w:gridSpan w:val="10"/>
          </w:tcPr>
          <w:p>
            <w:pPr>
              <w:spacing w:after="0"/>
              <w:rPr>
                <w:sz w:val="20"/>
                <w:szCs w:val="20"/>
                <w:color w:val="auto"/>
              </w:rPr>
            </w:pPr>
            <w:r>
              <w:rPr>
                <w:rFonts w:ascii="Arial" w:cs="Arial" w:eastAsia="Arial" w:hAnsi="Arial"/>
                <w:sz w:val="14"/>
                <w:szCs w:val="14"/>
                <w:color w:val="0E32E1"/>
              </w:rPr>
              <w:t>Management's Discussion and Analysis of Financial Condition and Results of Operations</w:t>
            </w:r>
          </w:p>
        </w:tc>
        <w:tc>
          <w:tcPr>
            <w:tcW w:w="3140" w:type="dxa"/>
            <w:vAlign w:val="bottom"/>
            <w:gridSpan w:val="3"/>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89"/>
              </w:rPr>
              <w:t>21</w:t>
            </w:r>
          </w:p>
        </w:tc>
      </w:tr>
      <w:tr>
        <w:trPr>
          <w:trHeight w:val="20"/>
        </w:trPr>
        <w:tc>
          <w:tcPr>
            <w:tcW w:w="440" w:type="dxa"/>
            <w:vAlign w:val="bottom"/>
            <w:shd w:val="clear" w:color="auto" w:fill="0E32E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180" w:type="dxa"/>
            <w:vAlign w:val="bottom"/>
            <w:tcBorders>
              <w:right w:val="single" w:sz="8" w:color="0E32E1"/>
            </w:tcBorders>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740" w:type="dxa"/>
            <w:vAlign w:val="bottom"/>
            <w:gridSpan w:val="2"/>
            <w:shd w:val="clear" w:color="auto" w:fill="0E32E1"/>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71"/>
        </w:trPr>
        <w:tc>
          <w:tcPr>
            <w:tcW w:w="440" w:type="dxa"/>
            <w:vAlign w:val="bottom"/>
          </w:tcPr>
          <w:p>
            <w:pPr>
              <w:spacing w:after="0"/>
              <w:rPr>
                <w:sz w:val="20"/>
                <w:szCs w:val="20"/>
                <w:color w:val="auto"/>
              </w:rPr>
            </w:pPr>
            <w:r>
              <w:rPr>
                <w:rFonts w:ascii="Arial" w:cs="Arial" w:eastAsia="Arial" w:hAnsi="Arial"/>
                <w:sz w:val="14"/>
                <w:szCs w:val="14"/>
                <w:color w:val="0E32E1"/>
                <w:w w:val="98"/>
              </w:rPr>
              <w:t>Item 3.</w:t>
            </w:r>
          </w:p>
        </w:tc>
        <w:tc>
          <w:tcPr>
            <w:tcW w:w="10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5560" w:type="dxa"/>
            <w:vAlign w:val="bottom"/>
            <w:gridSpan w:val="10"/>
          </w:tcPr>
          <w:p>
            <w:pPr>
              <w:spacing w:after="0"/>
              <w:rPr>
                <w:sz w:val="20"/>
                <w:szCs w:val="20"/>
                <w:color w:val="auto"/>
              </w:rPr>
            </w:pPr>
            <w:r>
              <w:rPr>
                <w:rFonts w:ascii="Arial" w:cs="Arial" w:eastAsia="Arial" w:hAnsi="Arial"/>
                <w:sz w:val="14"/>
                <w:szCs w:val="14"/>
                <w:color w:val="0E32E1"/>
              </w:rPr>
              <w:t>Quantitative and Qualitative Disclosures About Market Risk</w:t>
            </w:r>
          </w:p>
        </w:tc>
        <w:tc>
          <w:tcPr>
            <w:tcW w:w="3140" w:type="dxa"/>
            <w:vAlign w:val="bottom"/>
            <w:gridSpan w:val="3"/>
          </w:tcPr>
          <w:p>
            <w:pPr>
              <w:spacing w:after="0"/>
              <w:rPr>
                <w:sz w:val="14"/>
                <w:szCs w:val="14"/>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89"/>
              </w:rPr>
              <w:t>33</w:t>
            </w:r>
          </w:p>
        </w:tc>
      </w:tr>
      <w:tr>
        <w:trPr>
          <w:trHeight w:val="160"/>
        </w:trPr>
        <w:tc>
          <w:tcPr>
            <w:tcW w:w="440" w:type="dxa"/>
            <w:vAlign w:val="bottom"/>
            <w:tcBorders>
              <w:top w:val="single" w:sz="8" w:color="0E32E1"/>
            </w:tcBorders>
          </w:tcPr>
          <w:p>
            <w:pPr>
              <w:spacing w:after="0"/>
              <w:rPr>
                <w:sz w:val="20"/>
                <w:szCs w:val="20"/>
                <w:color w:val="auto"/>
              </w:rPr>
            </w:pPr>
            <w:r>
              <w:rPr>
                <w:rFonts w:ascii="Arial" w:cs="Arial" w:eastAsia="Arial" w:hAnsi="Arial"/>
                <w:sz w:val="14"/>
                <w:szCs w:val="14"/>
                <w:color w:val="0E32E1"/>
                <w:w w:val="98"/>
              </w:rPr>
              <w:t>Item 4.</w:t>
            </w:r>
          </w:p>
        </w:tc>
        <w:tc>
          <w:tcPr>
            <w:tcW w:w="100" w:type="dxa"/>
            <w:vAlign w:val="bottom"/>
            <w:tcBorders>
              <w:top w:val="single" w:sz="8" w:color="0E32E1"/>
            </w:tcBorders>
            <w:gridSpan w:val="2"/>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tcBorders>
              <w:top w:val="single" w:sz="8" w:color="0E32E1"/>
            </w:tcBorders>
            <w:gridSpan w:val="5"/>
          </w:tcPr>
          <w:p>
            <w:pPr>
              <w:spacing w:after="0"/>
              <w:rPr>
                <w:sz w:val="20"/>
                <w:szCs w:val="20"/>
                <w:color w:val="auto"/>
              </w:rPr>
            </w:pPr>
            <w:r>
              <w:rPr>
                <w:rFonts w:ascii="Arial" w:cs="Arial" w:eastAsia="Arial" w:hAnsi="Arial"/>
                <w:sz w:val="14"/>
                <w:szCs w:val="14"/>
                <w:color w:val="0E32E1"/>
              </w:rPr>
              <w:t>Controls and Procedures</w:t>
            </w:r>
          </w:p>
        </w:tc>
        <w:tc>
          <w:tcPr>
            <w:tcW w:w="2180" w:type="dxa"/>
            <w:vAlign w:val="bottom"/>
            <w:tcBorders>
              <w:top w:val="single" w:sz="8" w:color="0E32E1"/>
            </w:tcBorders>
            <w:gridSpan w:val="2"/>
          </w:tcPr>
          <w:p>
            <w:pPr>
              <w:spacing w:after="0"/>
              <w:rPr>
                <w:sz w:val="13"/>
                <w:szCs w:val="13"/>
                <w:color w:val="auto"/>
              </w:rPr>
            </w:pPr>
          </w:p>
        </w:tc>
        <w:tc>
          <w:tcPr>
            <w:tcW w:w="4940" w:type="dxa"/>
            <w:vAlign w:val="bottom"/>
            <w:gridSpan w:val="6"/>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89"/>
              </w:rPr>
              <w:t>34</w:t>
            </w:r>
          </w:p>
        </w:tc>
      </w:tr>
      <w:tr>
        <w:trPr>
          <w:trHeight w:val="20"/>
        </w:trPr>
        <w:tc>
          <w:tcPr>
            <w:tcW w:w="440" w:type="dxa"/>
            <w:vAlign w:val="bottom"/>
            <w:shd w:val="clear" w:color="auto" w:fill="0E32E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235"/>
        </w:trPr>
        <w:tc>
          <w:tcPr>
            <w:tcW w:w="540" w:type="dxa"/>
            <w:vAlign w:val="bottom"/>
            <w:gridSpan w:val="3"/>
          </w:tcPr>
          <w:p>
            <w:pPr>
              <w:spacing w:after="0"/>
              <w:rPr>
                <w:sz w:val="20"/>
                <w:szCs w:val="20"/>
                <w:color w:val="auto"/>
              </w:rPr>
            </w:pPr>
            <w:r>
              <w:rPr>
                <w:rFonts w:ascii="Arial" w:cs="Arial" w:eastAsia="Arial" w:hAnsi="Arial"/>
                <w:sz w:val="14"/>
                <w:szCs w:val="14"/>
                <w:b w:val="1"/>
                <w:bCs w:val="1"/>
                <w:color w:val="0E32E1"/>
                <w:w w:val="96"/>
              </w:rPr>
              <w:t>PART II.</w:t>
            </w:r>
          </w:p>
        </w:tc>
        <w:tc>
          <w:tcPr>
            <w:tcW w:w="520" w:type="dxa"/>
            <w:vAlign w:val="bottom"/>
          </w:tcPr>
          <w:p>
            <w:pPr>
              <w:spacing w:after="0"/>
              <w:rPr>
                <w:sz w:val="20"/>
                <w:szCs w:val="20"/>
                <w:color w:val="auto"/>
              </w:rPr>
            </w:pPr>
          </w:p>
        </w:tc>
        <w:tc>
          <w:tcPr>
            <w:tcW w:w="8700" w:type="dxa"/>
            <w:vAlign w:val="bottom"/>
            <w:gridSpan w:val="13"/>
          </w:tcPr>
          <w:p>
            <w:pPr>
              <w:spacing w:after="0"/>
              <w:rPr>
                <w:sz w:val="20"/>
                <w:szCs w:val="20"/>
                <w:color w:val="auto"/>
              </w:rPr>
            </w:pPr>
            <w:r>
              <w:rPr>
                <w:rFonts w:ascii="Arial" w:cs="Arial" w:eastAsia="Arial" w:hAnsi="Arial"/>
                <w:sz w:val="14"/>
                <w:szCs w:val="14"/>
                <w:color w:val="0E32E1"/>
              </w:rPr>
              <w:t>Other Information</w:t>
            </w:r>
          </w:p>
        </w:tc>
        <w:tc>
          <w:tcPr>
            <w:tcW w:w="1140" w:type="dxa"/>
            <w:vAlign w:val="bottom"/>
          </w:tcPr>
          <w:p>
            <w:pPr>
              <w:spacing w:after="0"/>
              <w:rPr>
                <w:sz w:val="20"/>
                <w:szCs w:val="20"/>
                <w:color w:val="auto"/>
              </w:rPr>
            </w:pPr>
          </w:p>
        </w:tc>
      </w:tr>
      <w:tr>
        <w:trPr>
          <w:trHeight w:val="20"/>
        </w:trPr>
        <w:tc>
          <w:tcPr>
            <w:tcW w:w="540" w:type="dxa"/>
            <w:vAlign w:val="bottom"/>
            <w:gridSpan w:val="3"/>
            <w:shd w:val="clear" w:color="auto" w:fill="0E32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440" w:type="dxa"/>
            <w:vAlign w:val="bottom"/>
          </w:tcPr>
          <w:p>
            <w:pPr>
              <w:spacing w:after="0"/>
              <w:rPr>
                <w:sz w:val="20"/>
                <w:szCs w:val="20"/>
                <w:color w:val="auto"/>
              </w:rPr>
            </w:pPr>
            <w:r>
              <w:rPr>
                <w:rFonts w:ascii="Arial" w:cs="Arial" w:eastAsia="Arial" w:hAnsi="Arial"/>
                <w:sz w:val="14"/>
                <w:szCs w:val="14"/>
                <w:color w:val="0E32E1"/>
                <w:w w:val="98"/>
              </w:rPr>
              <w:t>Item 1.</w:t>
            </w:r>
          </w:p>
        </w:tc>
        <w:tc>
          <w:tcPr>
            <w:tcW w:w="10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0E32E1"/>
              </w:rPr>
              <w:t>Legal Proceedings</w:t>
            </w:r>
          </w:p>
        </w:tc>
        <w:tc>
          <w:tcPr>
            <w:tcW w:w="7520" w:type="dxa"/>
            <w:vAlign w:val="bottom"/>
            <w:gridSpan w:val="10"/>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89"/>
              </w:rPr>
              <w:t>35</w:t>
            </w:r>
          </w:p>
        </w:tc>
      </w:tr>
      <w:tr>
        <w:trPr>
          <w:trHeight w:val="20"/>
        </w:trPr>
        <w:tc>
          <w:tcPr>
            <w:tcW w:w="440" w:type="dxa"/>
            <w:vAlign w:val="bottom"/>
            <w:shd w:val="clear" w:color="auto" w:fill="0E32E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80" w:type="dxa"/>
            <w:vAlign w:val="bottom"/>
            <w:gridSpan w:val="2"/>
            <w:shd w:val="clear" w:color="auto" w:fill="0E32E1"/>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71"/>
        </w:trPr>
        <w:tc>
          <w:tcPr>
            <w:tcW w:w="440" w:type="dxa"/>
            <w:vAlign w:val="bottom"/>
          </w:tcPr>
          <w:p>
            <w:pPr>
              <w:spacing w:after="0"/>
              <w:rPr>
                <w:sz w:val="20"/>
                <w:szCs w:val="20"/>
                <w:color w:val="auto"/>
              </w:rPr>
            </w:pPr>
            <w:r>
              <w:rPr>
                <w:rFonts w:ascii="Arial" w:cs="Arial" w:eastAsia="Arial" w:hAnsi="Arial"/>
                <w:sz w:val="14"/>
                <w:szCs w:val="14"/>
                <w:color w:val="0E32E1"/>
                <w:w w:val="98"/>
              </w:rPr>
              <w:t>Item 2.</w:t>
            </w:r>
          </w:p>
        </w:tc>
        <w:tc>
          <w:tcPr>
            <w:tcW w:w="620" w:type="dxa"/>
            <w:vAlign w:val="bottom"/>
            <w:gridSpan w:val="3"/>
          </w:tcPr>
          <w:p>
            <w:pPr>
              <w:spacing w:after="0"/>
              <w:rPr>
                <w:sz w:val="14"/>
                <w:szCs w:val="14"/>
                <w:color w:val="auto"/>
              </w:rPr>
            </w:pPr>
          </w:p>
        </w:tc>
        <w:tc>
          <w:tcPr>
            <w:tcW w:w="3820" w:type="dxa"/>
            <w:vAlign w:val="bottom"/>
            <w:gridSpan w:val="8"/>
          </w:tcPr>
          <w:p>
            <w:pPr>
              <w:spacing w:after="0"/>
              <w:rPr>
                <w:sz w:val="20"/>
                <w:szCs w:val="20"/>
                <w:color w:val="auto"/>
              </w:rPr>
            </w:pPr>
            <w:r>
              <w:rPr>
                <w:rFonts w:ascii="Arial" w:cs="Arial" w:eastAsia="Arial" w:hAnsi="Arial"/>
                <w:sz w:val="14"/>
                <w:szCs w:val="14"/>
                <w:color w:val="0E32E1"/>
              </w:rPr>
              <w:t>Unregistered Sales of Equity Securities and Use of Proceeds</w:t>
            </w:r>
          </w:p>
        </w:tc>
        <w:tc>
          <w:tcPr>
            <w:tcW w:w="4880" w:type="dxa"/>
            <w:vAlign w:val="bottom"/>
            <w:gridSpan w:val="5"/>
          </w:tcPr>
          <w:p>
            <w:pPr>
              <w:spacing w:after="0"/>
              <w:rPr>
                <w:sz w:val="14"/>
                <w:szCs w:val="14"/>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89"/>
              </w:rPr>
              <w:t>36</w:t>
            </w:r>
          </w:p>
        </w:tc>
      </w:tr>
      <w:tr>
        <w:trPr>
          <w:trHeight w:val="20"/>
        </w:trPr>
        <w:tc>
          <w:tcPr>
            <w:tcW w:w="440" w:type="dxa"/>
            <w:vAlign w:val="bottom"/>
            <w:shd w:val="clear" w:color="auto" w:fill="0E32E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3320" w:type="dxa"/>
            <w:vAlign w:val="bottom"/>
            <w:gridSpan w:val="7"/>
            <w:shd w:val="clear" w:color="auto" w:fill="0E32E1"/>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r>
        <w:trPr>
          <w:trHeight w:val="160"/>
        </w:trPr>
        <w:tc>
          <w:tcPr>
            <w:tcW w:w="440" w:type="dxa"/>
            <w:vAlign w:val="bottom"/>
          </w:tcPr>
          <w:p>
            <w:pPr>
              <w:spacing w:after="0"/>
              <w:rPr>
                <w:sz w:val="20"/>
                <w:szCs w:val="20"/>
                <w:color w:val="auto"/>
              </w:rPr>
            </w:pPr>
            <w:r>
              <w:rPr>
                <w:rFonts w:ascii="Arial" w:cs="Arial" w:eastAsia="Arial" w:hAnsi="Arial"/>
                <w:sz w:val="14"/>
                <w:szCs w:val="14"/>
                <w:color w:val="0E32E1"/>
                <w:w w:val="98"/>
              </w:rPr>
              <w:t>Item 5.</w:t>
            </w:r>
          </w:p>
        </w:tc>
        <w:tc>
          <w:tcPr>
            <w:tcW w:w="620" w:type="dxa"/>
            <w:vAlign w:val="bottom"/>
            <w:gridSpan w:val="3"/>
          </w:tcPr>
          <w:p>
            <w:pPr>
              <w:spacing w:after="0"/>
              <w:rPr>
                <w:sz w:val="13"/>
                <w:szCs w:val="13"/>
                <w:color w:val="auto"/>
              </w:rPr>
            </w:pPr>
          </w:p>
        </w:tc>
        <w:tc>
          <w:tcPr>
            <w:tcW w:w="3820" w:type="dxa"/>
            <w:vAlign w:val="bottom"/>
            <w:gridSpan w:val="8"/>
          </w:tcPr>
          <w:p>
            <w:pPr>
              <w:spacing w:after="0"/>
              <w:rPr>
                <w:sz w:val="20"/>
                <w:szCs w:val="20"/>
                <w:color w:val="auto"/>
              </w:rPr>
            </w:pPr>
            <w:r>
              <w:rPr>
                <w:rFonts w:ascii="Arial" w:cs="Arial" w:eastAsia="Arial" w:hAnsi="Arial"/>
                <w:sz w:val="14"/>
                <w:szCs w:val="14"/>
                <w:color w:val="0E32E1"/>
              </w:rPr>
              <w:t>Other Information</w:t>
            </w:r>
          </w:p>
        </w:tc>
        <w:tc>
          <w:tcPr>
            <w:tcW w:w="4880" w:type="dxa"/>
            <w:vAlign w:val="bottom"/>
            <w:gridSpan w:val="5"/>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000FF"/>
                <w:w w:val="89"/>
              </w:rPr>
              <w:t>36</w:t>
            </w:r>
          </w:p>
        </w:tc>
      </w:tr>
      <w:tr>
        <w:trPr>
          <w:trHeight w:val="20"/>
        </w:trPr>
        <w:tc>
          <w:tcPr>
            <w:tcW w:w="440" w:type="dxa"/>
            <w:vAlign w:val="bottom"/>
            <w:shd w:val="clear" w:color="auto" w:fill="0E32E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r>
      <w:tr>
        <w:trPr>
          <w:trHeight w:val="160"/>
        </w:trPr>
        <w:tc>
          <w:tcPr>
            <w:tcW w:w="440" w:type="dxa"/>
            <w:vAlign w:val="bottom"/>
          </w:tcPr>
          <w:p>
            <w:pPr>
              <w:spacing w:after="0"/>
              <w:rPr>
                <w:sz w:val="20"/>
                <w:szCs w:val="20"/>
                <w:color w:val="auto"/>
              </w:rPr>
            </w:pPr>
            <w:r>
              <w:rPr>
                <w:rFonts w:ascii="Arial" w:cs="Arial" w:eastAsia="Arial" w:hAnsi="Arial"/>
                <w:sz w:val="14"/>
                <w:szCs w:val="14"/>
                <w:color w:val="0E32E1"/>
                <w:w w:val="98"/>
              </w:rPr>
              <w:t>Item 6.</w:t>
            </w:r>
          </w:p>
        </w:tc>
        <w:tc>
          <w:tcPr>
            <w:tcW w:w="620" w:type="dxa"/>
            <w:vAlign w:val="bottom"/>
            <w:gridSpan w:val="3"/>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0E32E1"/>
              </w:rPr>
              <w:t>Exhibits</w:t>
            </w:r>
          </w:p>
        </w:tc>
        <w:tc>
          <w:tcPr>
            <w:tcW w:w="7600" w:type="dxa"/>
            <w:vAlign w:val="bottom"/>
            <w:gridSpan w:val="11"/>
          </w:tcPr>
          <w:p>
            <w:pPr>
              <w:spacing w:after="0"/>
              <w:rPr>
                <w:sz w:val="13"/>
                <w:szCs w:val="13"/>
                <w:color w:val="auto"/>
              </w:rPr>
            </w:pPr>
          </w:p>
        </w:tc>
        <w:tc>
          <w:tcPr>
            <w:tcW w:w="1140" w:type="dxa"/>
            <w:vAlign w:val="bottom"/>
          </w:tcPr>
          <w:p>
            <w:pPr>
              <w:jc w:val="center"/>
              <w:ind w:left="929"/>
              <w:spacing w:after="0"/>
              <w:rPr>
                <w:sz w:val="20"/>
                <w:szCs w:val="20"/>
                <w:color w:val="auto"/>
              </w:rPr>
            </w:pPr>
            <w:r>
              <w:rPr>
                <w:rFonts w:ascii="Arial" w:cs="Arial" w:eastAsia="Arial" w:hAnsi="Arial"/>
                <w:sz w:val="14"/>
                <w:szCs w:val="14"/>
                <w:color w:val="0E32E1"/>
                <w:w w:val="89"/>
              </w:rPr>
              <w:t>37</w:t>
            </w:r>
          </w:p>
        </w:tc>
      </w:tr>
      <w:tr>
        <w:trPr>
          <w:trHeight w:val="20"/>
        </w:trPr>
        <w:tc>
          <w:tcPr>
            <w:tcW w:w="4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Borders>
              <w:right w:val="single" w:sz="8" w:color="0E32E1"/>
            </w:tcBorders>
          </w:tcPr>
          <w:p>
            <w:pPr>
              <w:spacing w:after="0" w:line="20" w:lineRule="exact"/>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503555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730" w:right="67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w:t>
        <w:tab/>
        <w:t>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rPr>
          <w:sz w:val="20"/>
          <w:szCs w:val="20"/>
          <w:color w:val="auto"/>
        </w:rPr>
      </w:pPr>
      <w:r>
        <w:rPr>
          <w:rFonts w:ascii="Arial" w:cs="Arial" w:eastAsia="Arial" w:hAnsi="Arial"/>
          <w:sz w:val="14"/>
          <w:szCs w:val="14"/>
          <w:color w:val="auto"/>
        </w:rPr>
        <w:t>(Unaudited - In millions,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6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620" w:type="dxa"/>
            <w:vAlign w:val="bottom"/>
            <w:shd w:val="clear" w:color="auto" w:fill="CCEEFF"/>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38"/>
        </w:trPr>
        <w:tc>
          <w:tcPr>
            <w:tcW w:w="6760" w:type="dxa"/>
            <w:vAlign w:val="bottom"/>
          </w:tcPr>
          <w:p>
            <w:pPr>
              <w:ind w:left="100"/>
              <w:spacing w:after="0" w:line="138" w:lineRule="exact"/>
              <w:rPr>
                <w:sz w:val="20"/>
                <w:szCs w:val="20"/>
                <w:color w:val="auto"/>
              </w:rPr>
            </w:pPr>
            <w:r>
              <w:rPr>
                <w:rFonts w:ascii="Arial" w:cs="Arial" w:eastAsia="Arial" w:hAnsi="Arial"/>
                <w:sz w:val="14"/>
                <w:szCs w:val="14"/>
                <w:color w:val="auto"/>
              </w:rPr>
              <w:t>Accounts receivable, net of allowance for credit losses of $15.2 million and $14.1 million as of June 30,</w:t>
            </w:r>
          </w:p>
        </w:tc>
        <w:tc>
          <w:tcPr>
            <w:tcW w:w="16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2,473.3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3,294.1</w:t>
            </w: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2023 and December 31, 2022, respectively</w:t>
            </w:r>
          </w:p>
        </w:tc>
        <w:tc>
          <w:tcPr>
            <w:tcW w:w="16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16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w:t>
            </w: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Prepaid expenses</w:t>
            </w:r>
          </w:p>
        </w:tc>
        <w:tc>
          <w:tcPr>
            <w:tcW w:w="1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Short-term derivative assets, net</w:t>
            </w:r>
          </w:p>
        </w:tc>
        <w:tc>
          <w:tcPr>
            <w:tcW w:w="1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w:t>
            </w:r>
          </w:p>
        </w:tc>
        <w:tc>
          <w:tcPr>
            <w:tcW w:w="0" w:type="dxa"/>
            <w:vAlign w:val="bottom"/>
          </w:tcPr>
          <w:p>
            <w:pPr>
              <w:spacing w:after="0"/>
              <w:rPr>
                <w:sz w:val="1"/>
                <w:szCs w:val="1"/>
                <w:color w:val="auto"/>
              </w:rPr>
            </w:pPr>
          </w:p>
        </w:tc>
      </w:tr>
      <w:tr>
        <w:trPr>
          <w:trHeight w:val="191"/>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current assets</w:t>
            </w:r>
          </w:p>
        </w:tc>
        <w:tc>
          <w:tcPr>
            <w:tcW w:w="1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479.9</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4,045.1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5,238.1</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6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1,233.0</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Identifiable intangible assets, net</w:t>
            </w:r>
          </w:p>
        </w:tc>
        <w:tc>
          <w:tcPr>
            <w:tcW w:w="1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6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873.2</w:t>
            </w: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620" w:type="dxa"/>
            <w:vAlign w:val="bottom"/>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6,961.9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8,164.6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maturities of long-term debt</w:t>
            </w:r>
          </w:p>
        </w:tc>
        <w:tc>
          <w:tcPr>
            <w:tcW w:w="1620" w:type="dxa"/>
            <w:vAlign w:val="bottom"/>
            <w:shd w:val="clear" w:color="auto" w:fill="CCEEFF"/>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0"/>
        </w:trPr>
        <w:tc>
          <w:tcPr>
            <w:tcW w:w="67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2,708.7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3,529.5</w:t>
            </w: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derivative liabilities, net</w:t>
            </w:r>
          </w:p>
        </w:tc>
        <w:tc>
          <w:tcPr>
            <w:tcW w:w="1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191"/>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1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738.2</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4,608.6</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829.9</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6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liabilities</w:t>
            </w:r>
          </w:p>
        </w:tc>
        <w:tc>
          <w:tcPr>
            <w:tcW w:w="1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4,996.6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6,173.8</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Equity:</w:t>
            </w:r>
          </w:p>
        </w:tc>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 Kinect shareholders' equity:</w:t>
            </w:r>
          </w:p>
        </w:tc>
        <w:tc>
          <w:tcPr>
            <w:tcW w:w="1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Preferred stock, $1.00 par value; 0.1 shares authorized, none issued</w:t>
            </w:r>
          </w:p>
        </w:tc>
        <w:tc>
          <w:tcPr>
            <w:tcW w:w="1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76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Common stock, $0.01 par value; 100.0 shares authorized, 60.2 and 62.0 issued and outstanding as of</w:t>
            </w:r>
          </w:p>
        </w:tc>
        <w:tc>
          <w:tcPr>
            <w:tcW w:w="1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June 30, 2023 and December 31, 2022, respectively</w:t>
            </w:r>
          </w:p>
        </w:tc>
        <w:tc>
          <w:tcPr>
            <w:tcW w:w="16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Capital in excess of par value</w:t>
            </w:r>
          </w:p>
        </w:tc>
        <w:tc>
          <w:tcPr>
            <w:tcW w:w="1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186"/>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16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1,962.5</w:t>
            </w:r>
          </w:p>
        </w:tc>
        <w:tc>
          <w:tcPr>
            <w:tcW w:w="0" w:type="dxa"/>
            <w:vAlign w:val="bottom"/>
          </w:tcPr>
          <w:p>
            <w:pPr>
              <w:spacing w:after="0"/>
              <w:rPr>
                <w:sz w:val="1"/>
                <w:szCs w:val="1"/>
                <w:color w:val="auto"/>
              </w:rPr>
            </w:pPr>
          </w:p>
        </w:tc>
      </w:tr>
      <w:tr>
        <w:trPr>
          <w:trHeight w:val="180"/>
        </w:trPr>
        <w:tc>
          <w:tcPr>
            <w:tcW w:w="6760" w:type="dxa"/>
            <w:vAlign w:val="bottom"/>
          </w:tcPr>
          <w:p>
            <w:pPr>
              <w:ind w:left="120"/>
              <w:spacing w:after="0"/>
              <w:rPr>
                <w:sz w:val="20"/>
                <w:szCs w:val="20"/>
                <w:color w:val="auto"/>
              </w:rPr>
            </w:pPr>
            <w:r>
              <w:rPr>
                <w:rFonts w:ascii="Arial" w:cs="Arial" w:eastAsia="Arial" w:hAnsi="Arial"/>
                <w:sz w:val="14"/>
                <w:szCs w:val="14"/>
                <w:color w:val="auto"/>
              </w:rPr>
              <w:t>Accumulated other comprehensive income (loss)</w:t>
            </w:r>
          </w:p>
        </w:tc>
        <w:tc>
          <w:tcPr>
            <w:tcW w:w="1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82"/>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World Kinect shareholders' equity</w:t>
            </w:r>
          </w:p>
        </w:tc>
        <w:tc>
          <w:tcPr>
            <w:tcW w:w="1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1,984.9</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equity</w:t>
            </w:r>
          </w:p>
        </w:tc>
        <w:tc>
          <w:tcPr>
            <w:tcW w:w="16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1,965.2</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1620" w:type="dxa"/>
            <w:vAlign w:val="bottom"/>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6,961.9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8,164.6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(Unaudited – In millions, except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rPr>
              <w:t>For the Three Months Ended June</w:t>
            </w:r>
          </w:p>
        </w:tc>
        <w:tc>
          <w:tcPr>
            <w:tcW w:w="120" w:type="dxa"/>
            <w:vAlign w:val="bottom"/>
          </w:tcPr>
          <w:p>
            <w:pPr>
              <w:spacing w:after="0"/>
              <w:rPr>
                <w:sz w:val="14"/>
                <w:szCs w:val="14"/>
                <w:color w:val="auto"/>
              </w:rPr>
            </w:pPr>
          </w:p>
        </w:tc>
        <w:tc>
          <w:tcPr>
            <w:tcW w:w="24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0"/>
        </w:trPr>
        <w:tc>
          <w:tcPr>
            <w:tcW w:w="6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10,980.7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17,122.1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23,462.3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29,504.1</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10,699.0</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16,868.7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22,917.9</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29,019.8</w:t>
            </w:r>
          </w:p>
        </w:tc>
        <w:tc>
          <w:tcPr>
            <w:tcW w:w="0" w:type="dxa"/>
            <w:vAlign w:val="bottom"/>
          </w:tcPr>
          <w:p>
            <w:pPr>
              <w:spacing w:after="0"/>
              <w:rPr>
                <w:sz w:val="1"/>
                <w:szCs w:val="1"/>
                <w:color w:val="auto"/>
              </w:rPr>
            </w:pPr>
          </w:p>
        </w:tc>
      </w:tr>
      <w:tr>
        <w:trPr>
          <w:trHeight w:val="182"/>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0" w:type="dxa"/>
            <w:vAlign w:val="bottom"/>
          </w:tcPr>
          <w:p>
            <w:pPr>
              <w:spacing w:after="0"/>
              <w:rPr>
                <w:sz w:val="1"/>
                <w:szCs w:val="1"/>
                <w:color w:val="auto"/>
              </w:rPr>
            </w:pPr>
          </w:p>
        </w:tc>
      </w:tr>
      <w:tr>
        <w:trPr>
          <w:trHeight w:val="185"/>
        </w:trPr>
        <w:tc>
          <w:tcPr>
            <w:tcW w:w="612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75"/>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Asset impairments</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Non-operating income (expenses), net: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non-operating income (expense), net</w:t>
            </w: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76"/>
        </w:trPr>
        <w:tc>
          <w:tcPr>
            <w:tcW w:w="61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8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9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Net income (loss) attributable to World Kinect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20" w:type="dxa"/>
            <w:vAlign w:val="bottom"/>
          </w:tcPr>
          <w:p>
            <w:pPr>
              <w:ind w:left="20"/>
              <w:spacing w:after="0" w:line="153" w:lineRule="exact"/>
              <w:rPr>
                <w:sz w:val="20"/>
                <w:szCs w:val="20"/>
                <w:color w:val="auto"/>
              </w:rPr>
            </w:pPr>
            <w:r>
              <w:rPr>
                <w:rFonts w:ascii="Arial" w:cs="Arial" w:eastAsia="Arial" w:hAnsi="Arial"/>
                <w:sz w:val="14"/>
                <w:szCs w:val="14"/>
                <w:color w:val="auto"/>
              </w:rPr>
              <w:t>Basic weighted average common shares</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62.3</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62.2</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62.4</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tcPr>
          <w:p>
            <w:pPr>
              <w:ind w:left="20"/>
              <w:spacing w:after="0" w:line="143" w:lineRule="exact"/>
              <w:rPr>
                <w:sz w:val="20"/>
                <w:szCs w:val="20"/>
                <w:color w:val="auto"/>
              </w:rPr>
            </w:pPr>
            <w:r>
              <w:rPr>
                <w:rFonts w:ascii="Arial" w:cs="Arial" w:eastAsia="Arial" w:hAnsi="Arial"/>
                <w:sz w:val="14"/>
                <w:szCs w:val="14"/>
                <w:color w:val="auto"/>
              </w:rPr>
              <w:t>Diluted weighted average common shares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62.8</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30.5</w:t>
            </w:r>
          </w:p>
        </w:tc>
        <w:tc>
          <w:tcPr>
            <w:tcW w:w="4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24.8</w:t>
            </w:r>
          </w:p>
        </w:tc>
        <w:tc>
          <w:tcPr>
            <w:tcW w:w="3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53.0</w:t>
            </w:r>
          </w:p>
        </w:tc>
        <w:tc>
          <w:tcPr>
            <w:tcW w:w="4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71"/>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12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3"/>
        </w:trPr>
        <w:tc>
          <w:tcPr>
            <w:tcW w:w="6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Cash flow hedges, net of income tax expense (benefit) of $0.6 and $9.8 for the three months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1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ended June 30, 2023 and 2022, respectively, and net of income tax expense (benefit) of ($0.2)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and $2.8 for the six months ended June 30, 2023 and 2022, respectively</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20" w:type="dxa"/>
            <w:vAlign w:val="bottom"/>
          </w:tcPr>
          <w:p>
            <w:pPr>
              <w:ind w:left="180"/>
              <w:spacing w:after="0"/>
              <w:rPr>
                <w:sz w:val="20"/>
                <w:szCs w:val="20"/>
                <w:color w:val="auto"/>
              </w:rPr>
            </w:pPr>
            <w:r>
              <w:rPr>
                <w:rFonts w:ascii="Arial" w:cs="Arial" w:eastAsia="Arial" w:hAnsi="Arial"/>
                <w:sz w:val="14"/>
                <w:szCs w:val="14"/>
                <w:color w:val="auto"/>
              </w:rPr>
              <w:t>Total other comprehensive income (loss)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2"/>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including noncontrolling interest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World Kinect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4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4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WORLD KINECT CORPORATION</w:t>
      </w:r>
    </w:p>
    <w:p>
      <w:pPr>
        <w:spacing w:after="0" w:line="26" w:lineRule="exact"/>
        <w:rPr>
          <w:sz w:val="20"/>
          <w:szCs w:val="20"/>
          <w:color w:val="auto"/>
        </w:rPr>
      </w:pPr>
    </w:p>
    <w:p>
      <w:pPr>
        <w:ind w:right="5160"/>
        <w:spacing w:after="0" w:line="224" w:lineRule="auto"/>
        <w:rPr>
          <w:sz w:val="20"/>
          <w:szCs w:val="20"/>
          <w:color w:val="auto"/>
        </w:rPr>
      </w:pPr>
      <w:r>
        <w:rPr>
          <w:rFonts w:ascii="Arial" w:cs="Arial" w:eastAsia="Arial" w:hAnsi="Arial"/>
          <w:sz w:val="17"/>
          <w:szCs w:val="17"/>
          <w:b w:val="1"/>
          <w:bCs w:val="1"/>
          <w:color w:val="auto"/>
        </w:rPr>
        <w:t xml:space="preserve">CONDENSED CONSOLIDATED STATEMENTS OF SHAREHOLDERS' EQUITY </w:t>
      </w:r>
      <w:r>
        <w:rPr>
          <w:rFonts w:ascii="Arial" w:cs="Arial" w:eastAsia="Arial" w:hAnsi="Arial"/>
          <w:sz w:val="14"/>
          <w:szCs w:val="14"/>
          <w:color w:val="auto"/>
        </w:rPr>
        <w:t>(Unaudited -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right="144"/>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04"/>
              <w:spacing w:after="0"/>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1"/>
                <w:szCs w:val="11"/>
                <w:color w:val="auto"/>
              </w:rPr>
            </w:pPr>
          </w:p>
        </w:tc>
        <w:tc>
          <w:tcPr>
            <w:tcW w:w="1600" w:type="dxa"/>
            <w:vAlign w:val="bottom"/>
            <w:gridSpan w:val="4"/>
          </w:tcPr>
          <w:p>
            <w:pPr>
              <w:jc w:val="right"/>
              <w:ind w:right="323"/>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Capital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4"/>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84"/>
              <w:spacing w:after="0"/>
              <w:rPr>
                <w:sz w:val="20"/>
                <w:szCs w:val="20"/>
                <w:color w:val="auto"/>
              </w:rPr>
            </w:pPr>
            <w:r>
              <w:rPr>
                <w:rFonts w:ascii="Arial" w:cs="Arial" w:eastAsia="Arial" w:hAnsi="Arial"/>
                <w:sz w:val="11"/>
                <w:szCs w:val="11"/>
                <w:b w:val="1"/>
                <w:bCs w:val="1"/>
                <w:color w:val="auto"/>
              </w:rPr>
              <w:t>World Kinect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04"/>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5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restart"/>
          </w:tcPr>
          <w:p>
            <w:pPr>
              <w:ind w:left="60"/>
              <w:spacing w:after="0" w:line="85" w:lineRule="exact"/>
              <w:rPr>
                <w:sz w:val="20"/>
                <w:szCs w:val="20"/>
                <w:color w:val="auto"/>
              </w:rPr>
            </w:pPr>
            <w:r>
              <w:rPr>
                <w:rFonts w:ascii="Arial" w:cs="Arial" w:eastAsia="Arial" w:hAnsi="Arial"/>
                <w:sz w:val="9"/>
                <w:szCs w:val="9"/>
                <w:b w:val="1"/>
                <w:bCs w:val="1"/>
                <w:color w:val="auto"/>
              </w:rPr>
              <w:t>Excess of</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restart"/>
          </w:tcPr>
          <w:p>
            <w:pPr>
              <w:jc w:val="right"/>
              <w:ind w:right="144"/>
              <w:spacing w:after="0" w:line="8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vMerge w:val="restart"/>
          </w:tcPr>
          <w:p>
            <w:pPr>
              <w:jc w:val="center"/>
              <w:ind w:right="144"/>
              <w:spacing w:after="0" w:line="85"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vMerge w:val="restart"/>
          </w:tcPr>
          <w:p>
            <w:pPr>
              <w:jc w:val="center"/>
              <w:ind w:right="84"/>
              <w:spacing w:after="0" w:line="85" w:lineRule="exact"/>
              <w:rPr>
                <w:sz w:val="20"/>
                <w:szCs w:val="20"/>
                <w:color w:val="auto"/>
              </w:rPr>
            </w:pPr>
            <w:r>
              <w:rPr>
                <w:rFonts w:ascii="Arial" w:cs="Arial" w:eastAsia="Arial" w:hAnsi="Arial"/>
                <w:sz w:val="9"/>
                <w:szCs w:val="9"/>
                <w:b w:val="1"/>
                <w:bCs w:val="1"/>
                <w:color w:val="auto"/>
              </w:rPr>
              <w:t>Shareholders'</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vMerge w:val="restart"/>
          </w:tcPr>
          <w:p>
            <w:pPr>
              <w:jc w:val="center"/>
              <w:ind w:right="104"/>
              <w:spacing w:after="0" w:line="85" w:lineRule="exact"/>
              <w:rPr>
                <w:sz w:val="20"/>
                <w:szCs w:val="20"/>
                <w:color w:val="auto"/>
              </w:rPr>
            </w:pPr>
            <w:r>
              <w:rPr>
                <w:rFonts w:ascii="Arial" w:cs="Arial" w:eastAsia="Arial" w:hAnsi="Arial"/>
                <w:sz w:val="9"/>
                <w:szCs w:val="9"/>
                <w:b w:val="1"/>
                <w:bCs w:val="1"/>
                <w:color w:val="auto"/>
              </w:rPr>
              <w:t>Interest</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line="20" w:lineRule="exact"/>
              <w:rPr>
                <w:sz w:val="1"/>
                <w:szCs w:val="1"/>
                <w:color w:val="auto"/>
              </w:rPr>
            </w:pP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line="20" w:lineRule="exact"/>
              <w:rPr>
                <w:sz w:val="1"/>
                <w:szCs w:val="1"/>
                <w:color w:val="auto"/>
              </w:rPr>
            </w:pPr>
          </w:p>
        </w:tc>
      </w:tr>
      <w:tr>
        <w:trPr>
          <w:trHeight w:val="159"/>
        </w:trPr>
        <w:tc>
          <w:tcPr>
            <w:tcW w:w="25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Par Value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rPr>
              <w:t>Income (Loss)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as of December 31, 2022</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1,962.5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1,984.9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1,990.7</w:t>
            </w:r>
          </w:p>
        </w:tc>
        <w:tc>
          <w:tcPr>
            <w:tcW w:w="0" w:type="dxa"/>
            <w:vAlign w:val="bottom"/>
          </w:tcPr>
          <w:p>
            <w:pPr>
              <w:spacing w:after="0"/>
              <w:rPr>
                <w:sz w:val="1"/>
                <w:szCs w:val="1"/>
                <w:color w:val="auto"/>
              </w:rPr>
            </w:pPr>
          </w:p>
        </w:tc>
      </w:tr>
      <w:tr>
        <w:trPr>
          <w:trHeight w:val="155"/>
        </w:trPr>
        <w:tc>
          <w:tcPr>
            <w:tcW w:w="25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declared</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49"/>
        </w:trPr>
        <w:tc>
          <w:tcPr>
            <w:tcW w:w="2540" w:type="dxa"/>
            <w:vAlign w:val="bottom"/>
          </w:tcPr>
          <w:p>
            <w:pPr>
              <w:ind w:left="20"/>
              <w:spacing w:after="0"/>
              <w:rPr>
                <w:sz w:val="20"/>
                <w:szCs w:val="20"/>
                <w:color w:val="auto"/>
              </w:rPr>
            </w:pPr>
            <w:r>
              <w:rPr>
                <w:rFonts w:ascii="Arial" w:cs="Arial" w:eastAsia="Arial" w:hAnsi="Arial"/>
                <w:sz w:val="11"/>
                <w:szCs w:val="11"/>
                <w:color w:val="auto"/>
              </w:rPr>
              <w:t>Amortization of share-based payment awards</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23"/>
        </w:trPr>
        <w:tc>
          <w:tcPr>
            <w:tcW w:w="25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Issuance (cancellation) of common stock related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 share-based payment awards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540" w:type="dxa"/>
            <w:vAlign w:val="bottom"/>
          </w:tcPr>
          <w:p>
            <w:pPr>
              <w:ind w:left="20"/>
              <w:spacing w:after="0" w:line="123" w:lineRule="exact"/>
              <w:rPr>
                <w:sz w:val="20"/>
                <w:szCs w:val="20"/>
                <w:color w:val="auto"/>
              </w:rPr>
            </w:pPr>
            <w:r>
              <w:rPr>
                <w:rFonts w:ascii="Arial" w:cs="Arial" w:eastAsia="Arial" w:hAnsi="Arial"/>
                <w:sz w:val="11"/>
                <w:szCs w:val="11"/>
                <w:color w:val="auto"/>
              </w:rPr>
              <w:t>Purchases of common stock tendered by</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40" w:type="dxa"/>
            <w:vAlign w:val="bottom"/>
          </w:tcPr>
          <w:p>
            <w:pPr>
              <w:ind w:left="20"/>
              <w:spacing w:after="0" w:line="117" w:lineRule="exact"/>
              <w:rPr>
                <w:sz w:val="20"/>
                <w:szCs w:val="20"/>
                <w:color w:val="auto"/>
              </w:rPr>
            </w:pPr>
            <w:r>
              <w:rPr>
                <w:rFonts w:ascii="Arial" w:cs="Arial" w:eastAsia="Arial" w:hAnsi="Arial"/>
                <w:sz w:val="11"/>
                <w:szCs w:val="11"/>
                <w:color w:val="auto"/>
              </w:rPr>
              <w:t>employees to satisfy the required withholding</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color w:val="auto"/>
              </w:rPr>
              <w:t>taxes related to share-based payment awards</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3"/>
        </w:trPr>
        <w:tc>
          <w:tcPr>
            <w:tcW w:w="2540" w:type="dxa"/>
            <w:vAlign w:val="bottom"/>
          </w:tcPr>
          <w:p>
            <w:pPr>
              <w:ind w:left="20"/>
              <w:spacing w:after="0"/>
              <w:rPr>
                <w:sz w:val="20"/>
                <w:szCs w:val="20"/>
                <w:color w:val="auto"/>
              </w:rPr>
            </w:pPr>
            <w:r>
              <w:rPr>
                <w:rFonts w:ascii="Arial" w:cs="Arial" w:eastAsia="Arial" w:hAnsi="Arial"/>
                <w:sz w:val="11"/>
                <w:szCs w:val="11"/>
                <w:color w:val="auto"/>
              </w:rPr>
              <w:t>Balance as of March 31, 2023</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62.1</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0.6</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188.2</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1,976.7</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(157.1)</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2,008.3</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5.7</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2,014.0</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55"/>
        </w:trPr>
        <w:tc>
          <w:tcPr>
            <w:tcW w:w="2540" w:type="dxa"/>
            <w:vAlign w:val="bottom"/>
          </w:tcPr>
          <w:p>
            <w:pPr>
              <w:ind w:left="20"/>
              <w:spacing w:after="0"/>
              <w:rPr>
                <w:sz w:val="20"/>
                <w:szCs w:val="20"/>
                <w:color w:val="auto"/>
              </w:rPr>
            </w:pPr>
            <w:r>
              <w:rPr>
                <w:rFonts w:ascii="Arial" w:cs="Arial" w:eastAsia="Arial" w:hAnsi="Arial"/>
                <w:sz w:val="11"/>
                <w:szCs w:val="11"/>
                <w:color w:val="auto"/>
              </w:rPr>
              <w:t>Cash dividends declared</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share-based payment awards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23"/>
        </w:trPr>
        <w:tc>
          <w:tcPr>
            <w:tcW w:w="2540" w:type="dxa"/>
            <w:vAlign w:val="bottom"/>
          </w:tcPr>
          <w:p>
            <w:pPr>
              <w:ind w:left="20"/>
              <w:spacing w:after="0" w:line="123" w:lineRule="exact"/>
              <w:rPr>
                <w:sz w:val="20"/>
                <w:szCs w:val="20"/>
                <w:color w:val="auto"/>
              </w:rPr>
            </w:pPr>
            <w:r>
              <w:rPr>
                <w:rFonts w:ascii="Arial" w:cs="Arial" w:eastAsia="Arial" w:hAnsi="Arial"/>
                <w:sz w:val="11"/>
                <w:szCs w:val="11"/>
                <w:color w:val="auto"/>
              </w:rPr>
              <w:t>Issuance (cancellation) of common stock related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20"/>
              <w:spacing w:after="0"/>
              <w:rPr>
                <w:sz w:val="20"/>
                <w:szCs w:val="20"/>
                <w:color w:val="auto"/>
              </w:rPr>
            </w:pPr>
            <w:r>
              <w:rPr>
                <w:rFonts w:ascii="Arial" w:cs="Arial" w:eastAsia="Arial" w:hAnsi="Arial"/>
                <w:sz w:val="11"/>
                <w:szCs w:val="11"/>
                <w:color w:val="auto"/>
              </w:rPr>
              <w:t>to share-based payment awards</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54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Purchases of common stock tendered by</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54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rPr>
              <w:t>employees to satisfy the required withholding</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taxes related to share-based payment awards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49"/>
        </w:trPr>
        <w:tc>
          <w:tcPr>
            <w:tcW w:w="2540" w:type="dxa"/>
            <w:vAlign w:val="bottom"/>
          </w:tcPr>
          <w:p>
            <w:pPr>
              <w:ind w:left="20"/>
              <w:spacing w:after="0"/>
              <w:rPr>
                <w:sz w:val="20"/>
                <w:szCs w:val="20"/>
                <w:color w:val="auto"/>
              </w:rPr>
            </w:pPr>
            <w:r>
              <w:rPr>
                <w:rFonts w:ascii="Arial" w:cs="Arial" w:eastAsia="Arial" w:hAnsi="Arial"/>
                <w:sz w:val="11"/>
                <w:szCs w:val="11"/>
                <w:color w:val="auto"/>
              </w:rPr>
              <w:t>Purchases of common stock</w:t>
            </w:r>
          </w:p>
        </w:tc>
        <w:tc>
          <w:tcPr>
            <w:tcW w:w="720" w:type="dxa"/>
            <w:vAlign w:val="bottom"/>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(50.5)</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9"/>
        </w:trPr>
        <w:tc>
          <w:tcPr>
            <w:tcW w:w="2540" w:type="dxa"/>
            <w:vAlign w:val="bottom"/>
          </w:tcPr>
          <w:p>
            <w:pPr>
              <w:ind w:left="20"/>
              <w:spacing w:after="0"/>
              <w:rPr>
                <w:sz w:val="20"/>
                <w:szCs w:val="20"/>
                <w:color w:val="auto"/>
              </w:rPr>
            </w:pPr>
            <w:r>
              <w:rPr>
                <w:rFonts w:ascii="Arial" w:cs="Arial" w:eastAsia="Arial" w:hAnsi="Arial"/>
                <w:sz w:val="11"/>
                <w:szCs w:val="11"/>
                <w:color w:val="auto"/>
              </w:rPr>
              <w:t>Convertible note hedge transactions</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(70.5)</w:t>
            </w: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Warrant transactions</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40.0</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43"/>
        </w:trPr>
        <w:tc>
          <w:tcPr>
            <w:tcW w:w="2540" w:type="dxa"/>
            <w:vAlign w:val="bottom"/>
          </w:tcPr>
          <w:p>
            <w:pPr>
              <w:ind w:left="20"/>
              <w:spacing w:after="0"/>
              <w:rPr>
                <w:sz w:val="20"/>
                <w:szCs w:val="20"/>
                <w:color w:val="auto"/>
              </w:rPr>
            </w:pPr>
            <w:r>
              <w:rPr>
                <w:rFonts w:ascii="Arial" w:cs="Arial" w:eastAsia="Arial" w:hAnsi="Arial"/>
                <w:sz w:val="11"/>
                <w:szCs w:val="11"/>
                <w:color w:val="auto"/>
              </w:rPr>
              <w:t>Balance as of June 30, 2023</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60.2</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0.6</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107.2</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1,998.2</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(146.9)</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1,959.1</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1,965.2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124"/>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4"/>
              <w:spacing w:after="0"/>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1560" w:type="dxa"/>
            <w:vAlign w:val="bottom"/>
            <w:gridSpan w:val="4"/>
          </w:tcPr>
          <w:p>
            <w:pPr>
              <w:jc w:val="right"/>
              <w:ind w:right="303"/>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Capital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124"/>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84"/>
              <w:spacing w:after="0"/>
              <w:rPr>
                <w:sz w:val="20"/>
                <w:szCs w:val="20"/>
                <w:color w:val="auto"/>
              </w:rPr>
            </w:pPr>
            <w:r>
              <w:rPr>
                <w:rFonts w:ascii="Arial" w:cs="Arial" w:eastAsia="Arial" w:hAnsi="Arial"/>
                <w:sz w:val="11"/>
                <w:szCs w:val="11"/>
                <w:b w:val="1"/>
                <w:bCs w:val="1"/>
                <w:color w:val="auto"/>
              </w:rPr>
              <w:t>World Kinect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04"/>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6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restart"/>
          </w:tcPr>
          <w:p>
            <w:pPr>
              <w:ind w:left="60"/>
              <w:spacing w:after="0" w:line="85" w:lineRule="exact"/>
              <w:rPr>
                <w:sz w:val="20"/>
                <w:szCs w:val="20"/>
                <w:color w:val="auto"/>
              </w:rPr>
            </w:pPr>
            <w:r>
              <w:rPr>
                <w:rFonts w:ascii="Arial" w:cs="Arial" w:eastAsia="Arial" w:hAnsi="Arial"/>
                <w:sz w:val="9"/>
                <w:szCs w:val="9"/>
                <w:b w:val="1"/>
                <w:bCs w:val="1"/>
                <w:color w:val="auto"/>
              </w:rPr>
              <w:t>Excess of</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24"/>
              <w:spacing w:after="0" w:line="8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restart"/>
          </w:tcPr>
          <w:p>
            <w:pPr>
              <w:jc w:val="center"/>
              <w:ind w:right="124"/>
              <w:spacing w:after="0" w:line="85"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center"/>
              <w:ind w:right="104"/>
              <w:spacing w:after="0" w:line="85" w:lineRule="exact"/>
              <w:rPr>
                <w:sz w:val="20"/>
                <w:szCs w:val="20"/>
                <w:color w:val="auto"/>
              </w:rPr>
            </w:pPr>
            <w:r>
              <w:rPr>
                <w:rFonts w:ascii="Arial" w:cs="Arial" w:eastAsia="Arial" w:hAnsi="Arial"/>
                <w:sz w:val="9"/>
                <w:szCs w:val="9"/>
                <w:b w:val="1"/>
                <w:bCs w:val="1"/>
                <w:color w:val="auto"/>
              </w:rPr>
              <w:t>Shareholders'</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vMerge w:val="restart"/>
          </w:tcPr>
          <w:p>
            <w:pPr>
              <w:jc w:val="center"/>
              <w:ind w:right="104"/>
              <w:spacing w:after="0" w:line="85" w:lineRule="exact"/>
              <w:rPr>
                <w:sz w:val="20"/>
                <w:szCs w:val="20"/>
                <w:color w:val="auto"/>
              </w:rPr>
            </w:pPr>
            <w:r>
              <w:rPr>
                <w:rFonts w:ascii="Arial" w:cs="Arial" w:eastAsia="Arial" w:hAnsi="Arial"/>
                <w:sz w:val="9"/>
                <w:szCs w:val="9"/>
                <w:b w:val="1"/>
                <w:bCs w:val="1"/>
                <w:color w:val="auto"/>
              </w:rPr>
              <w:t>Interest</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line="20" w:lineRule="exact"/>
              <w:rPr>
                <w:sz w:val="1"/>
                <w:szCs w:val="1"/>
                <w:color w:val="auto"/>
              </w:rPr>
            </w:pPr>
          </w:p>
        </w:tc>
        <w:tc>
          <w:tcPr>
            <w:tcW w:w="66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26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24"/>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as of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168.1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1,880.6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1,912.7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1,916.8</w:t>
            </w: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declared</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Arial" w:cs="Arial" w:eastAsia="Arial" w:hAnsi="Arial"/>
                <w:sz w:val="11"/>
                <w:szCs w:val="11"/>
                <w:color w:val="auto"/>
              </w:rPr>
              <w:t>Amortization of share-based payment awards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Issuance (cancellation) of common stock related to</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payment awards</w:t>
            </w: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40" w:type="dxa"/>
            <w:vAlign w:val="bottom"/>
          </w:tcPr>
          <w:p>
            <w:pPr>
              <w:ind w:left="20"/>
              <w:spacing w:after="0" w:line="123" w:lineRule="exact"/>
              <w:rPr>
                <w:sz w:val="20"/>
                <w:szCs w:val="20"/>
                <w:color w:val="auto"/>
              </w:rPr>
            </w:pPr>
            <w:r>
              <w:rPr>
                <w:rFonts w:ascii="Arial" w:cs="Arial" w:eastAsia="Arial" w:hAnsi="Arial"/>
                <w:sz w:val="11"/>
                <w:szCs w:val="11"/>
                <w:color w:val="auto"/>
              </w:rPr>
              <w:t>Issuance of common stock for acquisition of 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business</w:t>
            </w:r>
          </w:p>
        </w:tc>
        <w:tc>
          <w:tcPr>
            <w:tcW w:w="66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23"/>
        </w:trPr>
        <w:tc>
          <w:tcPr>
            <w:tcW w:w="26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Purchases of common stock tendered by</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employees to satisfy the required withholding taxes</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related to share-based payment awards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Arial" w:cs="Arial" w:eastAsia="Arial" w:hAnsi="Arial"/>
                <w:sz w:val="11"/>
                <w:szCs w:val="11"/>
                <w:color w:val="auto"/>
              </w:rPr>
              <w:t>Purchases of common stock</w:t>
            </w:r>
          </w:p>
        </w:tc>
        <w:tc>
          <w:tcPr>
            <w:tcW w:w="66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53"/>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46"/>
        </w:trPr>
        <w:tc>
          <w:tcPr>
            <w:tcW w:w="2640" w:type="dxa"/>
            <w:vAlign w:val="bottom"/>
          </w:tcPr>
          <w:p>
            <w:pPr>
              <w:ind w:left="20"/>
              <w:spacing w:after="0"/>
              <w:rPr>
                <w:sz w:val="20"/>
                <w:szCs w:val="20"/>
                <w:color w:val="auto"/>
              </w:rPr>
            </w:pPr>
            <w:r>
              <w:rPr>
                <w:rFonts w:ascii="Arial" w:cs="Arial" w:eastAsia="Arial" w:hAnsi="Arial"/>
                <w:sz w:val="11"/>
                <w:szCs w:val="11"/>
                <w:color w:val="auto"/>
              </w:rPr>
              <w:t>Balance as of March 31, 2022</w:t>
            </w:r>
          </w:p>
        </w:tc>
        <w:tc>
          <w:tcPr>
            <w:tcW w:w="660" w:type="dxa"/>
            <w:vAlign w:val="bottom"/>
          </w:tcPr>
          <w:p>
            <w:pPr>
              <w:jc w:val="right"/>
              <w:spacing w:after="0"/>
              <w:rPr>
                <w:sz w:val="20"/>
                <w:szCs w:val="20"/>
                <w:color w:val="auto"/>
              </w:rPr>
            </w:pPr>
            <w:r>
              <w:rPr>
                <w:rFonts w:ascii="Arial" w:cs="Arial" w:eastAsia="Arial" w:hAnsi="Arial"/>
                <w:sz w:val="11"/>
                <w:szCs w:val="11"/>
                <w:color w:val="auto"/>
              </w:rPr>
              <w:t>63.0</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0.6</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206.7</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1,899.4</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(165.4)</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1,941.4</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4.1</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1,945.5</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1"/>
                <w:szCs w:val="11"/>
                <w:color w:val="auto"/>
              </w:rPr>
              <w:t>Cash dividends declared</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share-based payment awards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17"/>
        </w:trPr>
        <w:tc>
          <w:tcPr>
            <w:tcW w:w="2640" w:type="dxa"/>
            <w:vAlign w:val="bottom"/>
          </w:tcPr>
          <w:p>
            <w:pPr>
              <w:ind w:left="20"/>
              <w:spacing w:after="0" w:line="117" w:lineRule="exact"/>
              <w:rPr>
                <w:sz w:val="20"/>
                <w:szCs w:val="20"/>
                <w:color w:val="auto"/>
              </w:rPr>
            </w:pPr>
            <w:r>
              <w:rPr>
                <w:rFonts w:ascii="Arial" w:cs="Arial" w:eastAsia="Arial" w:hAnsi="Arial"/>
                <w:sz w:val="11"/>
                <w:szCs w:val="11"/>
                <w:color w:val="auto"/>
              </w:rPr>
              <w:t>Issuance (cancellation) of common stock related to</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640" w:type="dxa"/>
            <w:vAlign w:val="bottom"/>
          </w:tcPr>
          <w:p>
            <w:pPr>
              <w:ind w:left="20"/>
              <w:spacing w:after="0"/>
              <w:rPr>
                <w:sz w:val="20"/>
                <w:szCs w:val="20"/>
                <w:color w:val="auto"/>
              </w:rPr>
            </w:pPr>
            <w:r>
              <w:rPr>
                <w:rFonts w:ascii="Arial" w:cs="Arial" w:eastAsia="Arial" w:hAnsi="Arial"/>
                <w:sz w:val="11"/>
                <w:szCs w:val="11"/>
                <w:color w:val="auto"/>
              </w:rPr>
              <w:t>share-based payment awards</w:t>
            </w: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4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Purchases of common stock tendered by</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employees to satisfy the required withholding taxes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related to share-based payment awards</w:t>
            </w: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Arial" w:cs="Arial" w:eastAsia="Arial" w:hAnsi="Arial"/>
                <w:sz w:val="11"/>
                <w:szCs w:val="11"/>
                <w:color w:val="auto"/>
              </w:rPr>
              <w:t>Purchases of common stock</w:t>
            </w:r>
          </w:p>
        </w:tc>
        <w:tc>
          <w:tcPr>
            <w:tcW w:w="6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50"/>
        </w:trPr>
        <w:tc>
          <w:tcPr>
            <w:tcW w:w="2640" w:type="dxa"/>
            <w:vAlign w:val="bottom"/>
          </w:tcPr>
          <w:p>
            <w:pPr>
              <w:ind w:left="20"/>
              <w:spacing w:after="0"/>
              <w:rPr>
                <w:sz w:val="20"/>
                <w:szCs w:val="20"/>
                <w:color w:val="auto"/>
              </w:rPr>
            </w:pPr>
            <w:r>
              <w:rPr>
                <w:rFonts w:ascii="Arial" w:cs="Arial" w:eastAsia="Arial" w:hAnsi="Arial"/>
                <w:sz w:val="11"/>
                <w:szCs w:val="11"/>
                <w:color w:val="auto"/>
              </w:rPr>
              <w:t>Balance as of June 30, 2022</w:t>
            </w:r>
          </w:p>
        </w:tc>
        <w:tc>
          <w:tcPr>
            <w:tcW w:w="660" w:type="dxa"/>
            <w:vAlign w:val="bottom"/>
          </w:tcPr>
          <w:p>
            <w:pPr>
              <w:jc w:val="right"/>
              <w:spacing w:after="0"/>
              <w:rPr>
                <w:sz w:val="20"/>
                <w:szCs w:val="20"/>
                <w:color w:val="auto"/>
              </w:rPr>
            </w:pPr>
            <w:r>
              <w:rPr>
                <w:rFonts w:ascii="Arial" w:cs="Arial" w:eastAsia="Arial" w:hAnsi="Arial"/>
                <w:sz w:val="11"/>
                <w:szCs w:val="11"/>
                <w:color w:val="auto"/>
              </w:rPr>
              <w:t>61.9</w:t>
            </w: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0.6</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172.8</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1,916.4</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(174.0)</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1,915.7</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4.5</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1,920.2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(Unaudited -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For the Six Months Ended June 30,</w:t>
            </w:r>
          </w:p>
        </w:tc>
        <w:tc>
          <w:tcPr>
            <w:tcW w:w="720" w:type="dxa"/>
            <w:vAlign w:val="bottom"/>
            <w:tcBorders>
              <w:bottom w:val="single" w:sz="8" w:color="auto"/>
            </w:tcBorders>
          </w:tcPr>
          <w:p>
            <w:pPr>
              <w:spacing w:after="0"/>
              <w:rPr>
                <w:sz w:val="16"/>
                <w:szCs w:val="16"/>
                <w:color w:val="auto"/>
              </w:rPr>
            </w:pPr>
          </w:p>
        </w:tc>
      </w:tr>
      <w:tr>
        <w:trPr>
          <w:trHeight w:val="171"/>
        </w:trPr>
        <w:tc>
          <w:tcPr>
            <w:tcW w:w="7100" w:type="dxa"/>
            <w:vAlign w:val="bottom"/>
          </w:tcPr>
          <w:p>
            <w:pPr>
              <w:spacing w:after="0"/>
              <w:rPr>
                <w:sz w:val="14"/>
                <w:szCs w:val="14"/>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r>
      <w:tr>
        <w:trPr>
          <w:trHeight w:val="18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1300" w:type="dxa"/>
            <w:vAlign w:val="bottom"/>
          </w:tcPr>
          <w:p>
            <w:pPr>
              <w:jc w:val="right"/>
              <w:ind w:right="1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53.0</w:t>
            </w:r>
          </w:p>
        </w:tc>
        <w:tc>
          <w:tcPr>
            <w:tcW w:w="1440" w:type="dxa"/>
            <w:vAlign w:val="bottom"/>
            <w:gridSpan w:val="2"/>
          </w:tcPr>
          <w:p>
            <w:pPr>
              <w:jc w:val="right"/>
              <w:ind w:right="1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138"/>
        </w:trPr>
        <w:tc>
          <w:tcPr>
            <w:tcW w:w="71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Adjustments to reconcile net income including noncontrolling interest to net cash provided by operating</w:t>
            </w:r>
          </w:p>
        </w:tc>
        <w:tc>
          <w:tcPr>
            <w:tcW w:w="1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1"/>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activities:</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Unrealized (gain) loss on derivatives</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(146.1)</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8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r>
      <w:tr>
        <w:trPr>
          <w:trHeight w:val="185"/>
        </w:trPr>
        <w:tc>
          <w:tcPr>
            <w:tcW w:w="7100" w:type="dxa"/>
            <w:vAlign w:val="bottom"/>
          </w:tcPr>
          <w:p>
            <w:pPr>
              <w:ind w:left="180"/>
              <w:spacing w:after="0"/>
              <w:rPr>
                <w:sz w:val="20"/>
                <w:szCs w:val="20"/>
                <w:color w:val="auto"/>
              </w:rPr>
            </w:pPr>
            <w:r>
              <w:rPr>
                <w:rFonts w:ascii="Arial" w:cs="Arial" w:eastAsia="Arial" w:hAnsi="Arial"/>
                <w:sz w:val="14"/>
                <w:szCs w:val="14"/>
                <w:color w:val="auto"/>
              </w:rPr>
              <w:t>Provision for credit losses</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6"/>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payment award compensation costs</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Deferred income tax expense (benefit)</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foreign currency (gains) losses, net</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Other</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assets and liabilities, net of acquisitions and divestitures:</w:t>
            </w: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820.4</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(1,539.0)</w:t>
            </w: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18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r>
      <w:tr>
        <w:trPr>
          <w:trHeight w:val="185"/>
        </w:trPr>
        <w:tc>
          <w:tcPr>
            <w:tcW w:w="710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48.7</w:t>
            </w:r>
          </w:p>
        </w:tc>
      </w:tr>
      <w:tr>
        <w:trPr>
          <w:trHeight w:val="186"/>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collateral with counterparties</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(163.9)</w:t>
            </w: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1,503.5</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Short-term derivative liabilities, net</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(248.7)</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311.6</w:t>
            </w:r>
          </w:p>
        </w:tc>
      </w:tr>
      <w:tr>
        <w:trPr>
          <w:trHeight w:val="18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long-term liabilities</w:t>
            </w:r>
          </w:p>
        </w:tc>
        <w:tc>
          <w:tcPr>
            <w:tcW w:w="1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232.6</w:t>
            </w:r>
          </w:p>
        </w:tc>
      </w:tr>
      <w:tr>
        <w:trPr>
          <w:trHeight w:val="17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71"/>
        </w:trPr>
        <w:tc>
          <w:tcPr>
            <w:tcW w:w="71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 net of cash acquired</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(639.4)</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(46.5)</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18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investing activities, net</w:t>
            </w:r>
          </w:p>
        </w:tc>
        <w:tc>
          <w:tcPr>
            <w:tcW w:w="1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1"/>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(678.5)</w:t>
            </w:r>
          </w:p>
        </w:tc>
      </w:tr>
      <w:tr>
        <w:trPr>
          <w:trHeight w:val="17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Borrowings of debt</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3,221.3</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3,772.9</w:t>
            </w: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debt</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(3,531.4)</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(3,244.9)</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Issuance of Convertible Notes</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5"/>
        </w:trPr>
        <w:tc>
          <w:tcPr>
            <w:tcW w:w="71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(48.7)</w:t>
            </w:r>
          </w:p>
        </w:tc>
      </w:tr>
      <w:tr>
        <w:trPr>
          <w:trHeight w:val="186"/>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convertible note hedges</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Sale of warrants</w:t>
            </w: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deferred consideration for acquisitions</w:t>
            </w: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Other financing activities, net</w:t>
            </w: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7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451.0</w:t>
            </w:r>
          </w:p>
        </w:tc>
      </w:tr>
      <w:tr>
        <w:trPr>
          <w:trHeight w:val="1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17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Cash and cash equivalents, as of the beginning of the period</w:t>
            </w: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w:t>
            </w:r>
          </w:p>
        </w:tc>
        <w:tc>
          <w:tcPr>
            <w:tcW w:w="1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652.2</w:t>
            </w: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as of the end of the period</w:t>
            </w:r>
          </w:p>
        </w:tc>
        <w:tc>
          <w:tcPr>
            <w:tcW w:w="1300" w:type="dxa"/>
            <w:vAlign w:val="bottom"/>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1440" w:type="dxa"/>
            <w:vAlign w:val="bottom"/>
            <w:gridSpan w:val="2"/>
            <w:shd w:val="clear" w:color="auto" w:fill="CCEEFF"/>
          </w:tcPr>
          <w:p>
            <w:pPr>
              <w:jc w:val="right"/>
              <w:ind w:right="1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WORLD KINECT CORPORATION NOTES TO THE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 New Accounting Standards, and Significant Accounting Policies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World Kinect Corporation (the "Company") was incorporated in Florida in July 1984 and along with its consolidated subsidiaries is referred to collectively in this Quarterly Report on Form 10-Q ("10-Q Report") as "World Kinect," "we," "our" and "us." On June 15, 2023, the Company's shareholders approved an amendment to the Company's Articles of Incorporation, as amended, changing the Company's name from World Fuel Services Corporation to World Kinect Corporation. This change is intended to better reflect the Company's ongoing transformation into a more resilient, diversified energy and solutions provider.</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 leading global energy management company, offering a broad suite of solutions across the energy product spectrum. In addition to our core energy and fuel offerings to customers in the transportation sector, we provide advisory services, sustainability and renewable energy solutions, as well as supply fulfillment for natural gas and power. We continue to focus on advancing the energy transition to lower carbon alternatives through expanding our portfolio of energy solutions and providing customers with greater access to sustainably sourced energy.</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U.S. GAAP for complete financial statements. However, except as disclosed herein, there has been no material change in the information disclosed in the Notes included in our 2022 Annual Report on Form 10-K ("2022 10-K Report"). All intercompany transactions among our businesses have been eliminated.</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2022 10-K Report. Certain amounts in the Condensed Consolidated Financial Statements and accompanying Notes may not add due to rounding; however, all percentages have been calculated using unrounded amounts. Certain prior period amounts have been reclassified to conform to the current presentation.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Standards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Adoption of New Accounting Standards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 xml:space="preserve">Disclosure of Supplier Finance Program Obligations. </w:t>
      </w:r>
      <w:r>
        <w:rPr>
          <w:rFonts w:ascii="Arial" w:cs="Arial" w:eastAsia="Arial" w:hAnsi="Arial"/>
          <w:sz w:val="14"/>
          <w:szCs w:val="14"/>
          <w:color w:val="auto"/>
        </w:rPr>
        <w:t>In September 2022, Accounting Standards Update ("ASU") 2022-04 was issued to require the buyer in a supplier finance</w:t>
      </w:r>
      <w:r>
        <w:rPr>
          <w:rFonts w:ascii="Arial" w:cs="Arial" w:eastAsia="Arial" w:hAnsi="Arial"/>
          <w:sz w:val="14"/>
          <w:szCs w:val="14"/>
          <w:i w:val="1"/>
          <w:iCs w:val="1"/>
          <w:color w:val="auto"/>
        </w:rPr>
        <w:t xml:space="preserve"> </w:t>
      </w:r>
      <w:r>
        <w:rPr>
          <w:rFonts w:ascii="Arial" w:cs="Arial" w:eastAsia="Arial" w:hAnsi="Arial"/>
          <w:sz w:val="14"/>
          <w:szCs w:val="14"/>
          <w:color w:val="auto"/>
        </w:rPr>
        <w:t>program to disclose the key terms of the program, outstanding confirmed amounts as of the end of the period, a rollforward of such amounts during each annual period, and a description of where in the financial statements outstanding amounts are presented. The amendments do not affect the recognition, measurement or financial statement presentation of supplier finance program obligations. The amendments are effective for fiscal years beginning after December 15, 2022, including interim periods within those fiscal years. The amendments should be applied retrospectively to each period in which a balance sheet is presented, except for the rollforward, which should be applied prospectively. Early adoption was permitted. The Company adopted ASU 2022-04 in the first quarter of 2023 and has included all relevant disclosures below.</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Supplier Finance Programs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 w:name="page9"/>
    <w:bookmarkEnd w:id="8"/>
    <w:p>
      <w:pPr>
        <w:jc w:val="both"/>
        <w:spacing w:after="0" w:line="281" w:lineRule="auto"/>
        <w:rPr>
          <w:sz w:val="20"/>
          <w:szCs w:val="20"/>
          <w:color w:val="auto"/>
        </w:rPr>
      </w:pPr>
      <w:r>
        <w:rPr>
          <w:rFonts w:ascii="Arial" w:cs="Arial" w:eastAsia="Arial" w:hAnsi="Arial"/>
          <w:sz w:val="14"/>
          <w:szCs w:val="14"/>
          <w:color w:val="auto"/>
        </w:rPr>
        <w:t>Outstanding obligations confirmed under our supplier finance programs were $207.4 million and $246.8 million as of June 30, 2023 and December 31, 2022, respectively, and are included in Accounts payable within our Condensed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Accounting Standards Issued but Not Yet Adopted</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There are no recently issued accounting standards not yet adopted by us that are expected, upon adoption, to have a material impact on the Company’s Consolidated Financial Statements or processes.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Accounting Policies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There have been no significant changes in the Company's accounting policies from those disclosed in our 2022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2022 10-K Report.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Accounts Receivable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and Allowance for Credit Losses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oil prices and political instability.</w:t>
      </w:r>
    </w:p>
    <w:p>
      <w:pPr>
        <w:spacing w:after="0" w:line="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had accounts receivable, net, of $2.5 billion and $3.3 billion and an allowance for expected credit losses, primarily related to accounts receivable, of $17.5 million and $17.3 million, as of June 30, 2023 and December 31, 2022, respectively. Changes to the expected credit loss provision during the six months ended June 30, 2023 include global economic outlook considerations as a result of the Company's assessment of reasonable and supportable forward-looking information. Based on an aging analysis as of June 30, 2023, 95% of our accounts receivable were outstanding less than 60 days.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The following table sets forth activities in our allowance for expected credit losses (in millions):</w:t>
            </w: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87"/>
        </w:trPr>
        <w:tc>
          <w:tcPr>
            <w:tcW w:w="6760" w:type="dxa"/>
            <w:vAlign w:val="bottom"/>
          </w:tcPr>
          <w:p>
            <w:pPr>
              <w:spacing w:after="0"/>
              <w:rPr>
                <w:sz w:val="24"/>
                <w:szCs w:val="24"/>
                <w:color w:val="auto"/>
              </w:rPr>
            </w:pPr>
          </w:p>
        </w:tc>
        <w:tc>
          <w:tcPr>
            <w:tcW w:w="386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c>
          <w:tcPr>
            <w:tcW w:w="660" w:type="dxa"/>
            <w:vAlign w:val="bottom"/>
            <w:tcBorders>
              <w:bottom w:val="single" w:sz="8" w:color="auto"/>
            </w:tcBorders>
          </w:tcPr>
          <w:p>
            <w:pPr>
              <w:spacing w:after="0"/>
              <w:rPr>
                <w:sz w:val="24"/>
                <w:szCs w:val="24"/>
                <w:color w:val="auto"/>
              </w:rPr>
            </w:pPr>
          </w:p>
        </w:tc>
      </w:tr>
      <w:tr>
        <w:trPr>
          <w:trHeight w:val="182"/>
        </w:trPr>
        <w:tc>
          <w:tcPr>
            <w:tcW w:w="6760" w:type="dxa"/>
            <w:vAlign w:val="bottom"/>
          </w:tcPr>
          <w:p>
            <w:pPr>
              <w:spacing w:after="0"/>
              <w:rPr>
                <w:sz w:val="15"/>
                <w:szCs w:val="15"/>
                <w:color w:val="auto"/>
              </w:rPr>
            </w:pPr>
          </w:p>
        </w:tc>
        <w:tc>
          <w:tcPr>
            <w:tcW w:w="1560" w:type="dxa"/>
            <w:vAlign w:val="bottom"/>
          </w:tcPr>
          <w:p>
            <w:pPr>
              <w:jc w:val="right"/>
              <w:ind w:right="229"/>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5"/>
                <w:szCs w:val="15"/>
                <w:color w:val="auto"/>
              </w:rPr>
            </w:pPr>
          </w:p>
        </w:tc>
        <w:tc>
          <w:tcPr>
            <w:tcW w:w="16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r>
      <w:tr>
        <w:trPr>
          <w:trHeight w:val="171"/>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w:t>
            </w:r>
          </w:p>
        </w:tc>
        <w:tc>
          <w:tcPr>
            <w:tcW w:w="1560" w:type="dxa"/>
            <w:vAlign w:val="bottom"/>
            <w:tcBorders>
              <w:top w:val="single" w:sz="8" w:color="auto"/>
            </w:tcBorders>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ind w:right="13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Charges to allowance for credit losses</w:t>
            </w:r>
          </w:p>
        </w:tc>
        <w:tc>
          <w:tcPr>
            <w:tcW w:w="1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9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Write-off of uncollectible receivables</w:t>
            </w:r>
          </w:p>
        </w:tc>
        <w:tc>
          <w:tcPr>
            <w:tcW w:w="15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Recoveries of credit losses</w:t>
            </w:r>
          </w:p>
        </w:tc>
        <w:tc>
          <w:tcPr>
            <w:tcW w:w="15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Translation adjustments</w:t>
            </w:r>
          </w:p>
        </w:tc>
        <w:tc>
          <w:tcPr>
            <w:tcW w:w="15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2"/>
        </w:trPr>
        <w:tc>
          <w:tcPr>
            <w:tcW w:w="6760" w:type="dxa"/>
            <w:vAlign w:val="bottom"/>
          </w:tcPr>
          <w:p>
            <w:pPr>
              <w:ind w:left="20"/>
              <w:spacing w:after="0"/>
              <w:rPr>
                <w:sz w:val="20"/>
                <w:szCs w:val="20"/>
                <w:color w:val="auto"/>
              </w:rPr>
            </w:pPr>
            <w:r>
              <w:rPr>
                <w:rFonts w:ascii="Arial" w:cs="Arial" w:eastAsia="Arial" w:hAnsi="Arial"/>
                <w:sz w:val="14"/>
                <w:szCs w:val="14"/>
                <w:color w:val="auto"/>
              </w:rPr>
              <w:t>Balance as of June 30,</w:t>
            </w:r>
          </w:p>
        </w:tc>
        <w:tc>
          <w:tcPr>
            <w:tcW w:w="1560" w:type="dxa"/>
            <w:vAlign w:val="bottom"/>
          </w:tcPr>
          <w:p>
            <w:pPr>
              <w:jc w:val="right"/>
              <w:ind w:right="13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17.5</w:t>
            </w:r>
          </w:p>
        </w:tc>
        <w:tc>
          <w:tcPr>
            <w:tcW w:w="1660" w:type="dxa"/>
            <w:vAlign w:val="bottom"/>
            <w:gridSpan w:val="2"/>
          </w:tcPr>
          <w:p>
            <w:pPr>
              <w:jc w:val="right"/>
              <w:ind w:right="136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0"/>
        </w:trPr>
        <w:tc>
          <w:tcPr>
            <w:tcW w:w="6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Receivable Purchase Agreements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During the second quarter of 2023, we amended one of our RPAs to, among other things, reduce the overall fee structure.</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Accounts receivable sold under the RPAs are accounted for as sales and excluded from Accounts receivable, net of allowance for credit losses on the accompanying Condensed Consolidated Balance Sheets. Fees paid under the RPAs are recorded within Interest expense and other financing costs, net on the Condensed Consolidated Statements of Income and Comprehensive Income.</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six months ended June 30, 2023 and 2022, we sold receivables under the RPAs with an aggregate face value of $6.0 billion and $6.2 billion, respectively, and recognized fees of $22.8 million and $14.6 million,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3. 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Acquisition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first quarter of 2022, we completed the acquisition of Flyers Energy Group, LLC ("Flyers"). Flyers' operations include transportation, commercial fleet fueling, lubricants distribution, and the supply of wholesale, branded and renewable fuels. The total purchase price of $795.0 million included deferred payments totaling $100.0 million. In January 2023, $50 million was paid to the seller and the remaining $50 million outstanding as of June 30, 2023 is expected to be settled in January 2024.</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Derivative Instruments</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Our risk management program includes the following types of derivative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Fair Value Hedges. </w:t>
      </w:r>
      <w:r>
        <w:rPr>
          <w:rFonts w:ascii="Arial" w:cs="Arial" w:eastAsia="Arial" w:hAnsi="Arial"/>
          <w:sz w:val="14"/>
          <w:szCs w:val="14"/>
          <w:color w:val="auto"/>
        </w:rPr>
        <w:t>Derivative contracts we hold to hedge the risk of changes in the price of our inventory.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Cash Flow Hedges. </w:t>
      </w:r>
      <w:r>
        <w:rPr>
          <w:rFonts w:ascii="Arial" w:cs="Arial" w:eastAsia="Arial" w:hAnsi="Arial"/>
          <w:sz w:val="14"/>
          <w:szCs w:val="14"/>
          <w:color w:val="auto"/>
        </w:rPr>
        <w:t>Derivative contracts we execute to mitigate the risk of price and interest rate volatility in forecasted transactions.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 xml:space="preserve">Non-designated Derivatives. </w:t>
      </w:r>
      <w:r>
        <w:rPr>
          <w:rFonts w:ascii="Arial" w:cs="Arial" w:eastAsia="Arial" w:hAnsi="Arial"/>
          <w:sz w:val="14"/>
          <w:szCs w:val="14"/>
          <w:color w:val="auto"/>
        </w:rPr>
        <w:t>Derivatives we primarily transact to mitigate the risk of market price fluctuations in swaps or futures contracts, as well as certain forward fixed price</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and sale contracts to hedge the risk of currency rate fluctuations and for portfolio optimization.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gross notional values of our derivative contracts used for risk management purposes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17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333333"/>
              </w:rPr>
              <w:t>Unit</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June 30, 2023</w:t>
            </w:r>
          </w:p>
        </w:tc>
      </w:tr>
      <w:tr>
        <w:trPr>
          <w:trHeight w:val="171"/>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80"/>
        </w:trPr>
        <w:tc>
          <w:tcPr>
            <w:tcW w:w="7180" w:type="dxa"/>
            <w:vAlign w:val="bottom"/>
          </w:tcPr>
          <w:p>
            <w:pPr>
              <w:ind w:left="20"/>
              <w:spacing w:after="0"/>
              <w:rPr>
                <w:sz w:val="20"/>
                <w:szCs w:val="20"/>
                <w:color w:val="auto"/>
              </w:rPr>
            </w:pPr>
            <w:r>
              <w:rPr>
                <w:rFonts w:ascii="Arial" w:cs="Arial" w:eastAsia="Arial" w:hAnsi="Arial"/>
                <w:sz w:val="14"/>
                <w:szCs w:val="14"/>
                <w:color w:val="auto"/>
              </w:rPr>
              <w:t>Long</w:t>
            </w:r>
          </w:p>
        </w:tc>
        <w:tc>
          <w:tcPr>
            <w:tcW w:w="1780" w:type="dxa"/>
            <w:vAlign w:val="bottom"/>
          </w:tcPr>
          <w:p>
            <w:pPr>
              <w:ind w:left="760"/>
              <w:spacing w:after="0"/>
              <w:rPr>
                <w:sz w:val="20"/>
                <w:szCs w:val="20"/>
                <w:color w:val="auto"/>
              </w:rPr>
            </w:pPr>
            <w:r>
              <w:rPr>
                <w:rFonts w:ascii="Arial" w:cs="Arial" w:eastAsia="Arial" w:hAnsi="Arial"/>
                <w:sz w:val="14"/>
                <w:szCs w:val="14"/>
                <w:color w:val="auto"/>
              </w:rPr>
              <w:t>BBL</w:t>
            </w:r>
          </w:p>
        </w:tc>
        <w:tc>
          <w:tcPr>
            <w:tcW w:w="2320" w:type="dxa"/>
            <w:vAlign w:val="bottom"/>
            <w:gridSpan w:val="2"/>
          </w:tcPr>
          <w:p>
            <w:pPr>
              <w:jc w:val="right"/>
              <w:spacing w:after="0"/>
              <w:rPr>
                <w:sz w:val="20"/>
                <w:szCs w:val="20"/>
                <w:color w:val="auto"/>
              </w:rPr>
            </w:pPr>
            <w:r>
              <w:rPr>
                <w:rFonts w:ascii="Arial" w:cs="Arial" w:eastAsia="Arial" w:hAnsi="Arial"/>
                <w:sz w:val="14"/>
                <w:szCs w:val="14"/>
                <w:color w:val="auto"/>
              </w:rPr>
              <w:t>92.1</w:t>
            </w:r>
          </w:p>
        </w:tc>
      </w:tr>
      <w:tr>
        <w:trPr>
          <w:trHeight w:val="191"/>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w:t>
            </w:r>
          </w:p>
        </w:tc>
        <w:tc>
          <w:tcPr>
            <w:tcW w:w="17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BBL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w:t>
            </w:r>
          </w:p>
        </w:tc>
      </w:tr>
      <w:tr>
        <w:trPr>
          <w:trHeight w:val="212"/>
        </w:trPr>
        <w:tc>
          <w:tcPr>
            <w:tcW w:w="7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0"/>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 exchange contracts</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80"/>
        </w:trPr>
        <w:tc>
          <w:tcPr>
            <w:tcW w:w="7180" w:type="dxa"/>
            <w:vAlign w:val="bottom"/>
          </w:tcPr>
          <w:p>
            <w:pPr>
              <w:ind w:left="20"/>
              <w:spacing w:after="0"/>
              <w:rPr>
                <w:sz w:val="20"/>
                <w:szCs w:val="20"/>
                <w:color w:val="auto"/>
              </w:rPr>
            </w:pPr>
            <w:r>
              <w:rPr>
                <w:rFonts w:ascii="Arial" w:cs="Arial" w:eastAsia="Arial" w:hAnsi="Arial"/>
                <w:sz w:val="14"/>
                <w:szCs w:val="14"/>
                <w:color w:val="auto"/>
              </w:rPr>
              <w:t>Sell U.S. dollar, buy other currencies</w:t>
            </w:r>
          </w:p>
        </w:tc>
        <w:tc>
          <w:tcPr>
            <w:tcW w:w="1780" w:type="dxa"/>
            <w:vAlign w:val="bottom"/>
          </w:tcPr>
          <w:p>
            <w:pPr>
              <w:ind w:left="740"/>
              <w:spacing w:after="0"/>
              <w:rPr>
                <w:sz w:val="20"/>
                <w:szCs w:val="20"/>
                <w:color w:val="auto"/>
              </w:rPr>
            </w:pPr>
            <w:r>
              <w:rPr>
                <w:rFonts w:ascii="Arial" w:cs="Arial" w:eastAsia="Arial" w:hAnsi="Arial"/>
                <w:sz w:val="14"/>
                <w:szCs w:val="14"/>
                <w:color w:val="auto"/>
              </w:rPr>
              <w:t>USD</w:t>
            </w:r>
          </w:p>
        </w:tc>
        <w:tc>
          <w:tcPr>
            <w:tcW w:w="2320" w:type="dxa"/>
            <w:vAlign w:val="bottom"/>
            <w:gridSpan w:val="2"/>
          </w:tcPr>
          <w:p>
            <w:pPr>
              <w:jc w:val="right"/>
              <w:spacing w:after="0"/>
              <w:rPr>
                <w:sz w:val="20"/>
                <w:szCs w:val="20"/>
                <w:color w:val="auto"/>
              </w:rPr>
            </w:pPr>
            <w:r>
              <w:rPr>
                <w:rFonts w:ascii="Arial" w:cs="Arial" w:eastAsia="Arial" w:hAnsi="Arial"/>
                <w:sz w:val="14"/>
                <w:szCs w:val="14"/>
                <w:color w:val="auto"/>
              </w:rPr>
              <w:t>(584.9)</w:t>
            </w:r>
          </w:p>
        </w:tc>
      </w:tr>
      <w:tr>
        <w:trPr>
          <w:trHeight w:val="191"/>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U.S. dollar, sell other currencies</w:t>
            </w:r>
          </w:p>
        </w:tc>
        <w:tc>
          <w:tcPr>
            <w:tcW w:w="1780" w:type="dxa"/>
            <w:vAlign w:val="bottom"/>
            <w:shd w:val="clear" w:color="auto" w:fill="CCEEFF"/>
          </w:tcPr>
          <w:p>
            <w:pPr>
              <w:ind w:left="740"/>
              <w:spacing w:after="0"/>
              <w:rPr>
                <w:sz w:val="20"/>
                <w:szCs w:val="20"/>
                <w:color w:val="auto"/>
              </w:rPr>
            </w:pPr>
            <w:r>
              <w:rPr>
                <w:rFonts w:ascii="Arial" w:cs="Arial" w:eastAsia="Arial" w:hAnsi="Arial"/>
                <w:sz w:val="14"/>
                <w:szCs w:val="14"/>
                <w:color w:val="auto"/>
              </w:rPr>
              <w:t>USD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627.9</w:t>
            </w:r>
          </w:p>
        </w:tc>
      </w:tr>
      <w:tr>
        <w:trPr>
          <w:trHeight w:val="212"/>
        </w:trPr>
        <w:tc>
          <w:tcPr>
            <w:tcW w:w="7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0"/>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80"/>
        </w:trPr>
        <w:tc>
          <w:tcPr>
            <w:tcW w:w="718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1780" w:type="dxa"/>
            <w:vAlign w:val="bottom"/>
          </w:tcPr>
          <w:p>
            <w:pPr>
              <w:ind w:left="740"/>
              <w:spacing w:after="0"/>
              <w:rPr>
                <w:sz w:val="20"/>
                <w:szCs w:val="20"/>
                <w:color w:val="auto"/>
              </w:rPr>
            </w:pPr>
            <w:r>
              <w:rPr>
                <w:rFonts w:ascii="Arial" w:cs="Arial" w:eastAsia="Arial" w:hAnsi="Arial"/>
                <w:sz w:val="14"/>
                <w:szCs w:val="14"/>
                <w:color w:val="auto"/>
              </w:rPr>
              <w:t>USD</w:t>
            </w:r>
          </w:p>
        </w:tc>
        <w:tc>
          <w:tcPr>
            <w:tcW w:w="2320" w:type="dxa"/>
            <w:vAlign w:val="bottom"/>
            <w:gridSpan w:val="2"/>
          </w:tcPr>
          <w:p>
            <w:pPr>
              <w:jc w:val="right"/>
              <w:spacing w:after="0"/>
              <w:rPr>
                <w:sz w:val="20"/>
                <w:szCs w:val="20"/>
                <w:color w:val="auto"/>
              </w:rPr>
            </w:pPr>
            <w:r>
              <w:rPr>
                <w:rFonts w:ascii="Arial" w:cs="Arial" w:eastAsia="Arial" w:hAnsi="Arial"/>
                <w:sz w:val="14"/>
                <w:szCs w:val="14"/>
                <w:color w:val="auto"/>
              </w:rPr>
              <w:t>300.0</w:t>
            </w:r>
          </w:p>
        </w:tc>
      </w:tr>
    </w:tbl>
    <w:p>
      <w:pPr>
        <w:spacing w:after="0" w:line="234"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While the majority of our foreign currency exchange contracts and the volume related to our commodities contracts are expected to settle within the next year, our interest rate swap agreement matures in March 2025.</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gross fair value of our derivative instruments and their locations on the Condensed Consolidated Balance Sheets (in millions):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48"/>
        </w:trPr>
        <w:tc>
          <w:tcPr>
            <w:tcW w:w="18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1"/>
                <w:szCs w:val="11"/>
                <w:b w:val="1"/>
                <w:bCs w:val="1"/>
                <w:color w:val="auto"/>
              </w:rPr>
              <w:t>Gross Derivative Assets</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1"/>
                <w:szCs w:val="11"/>
                <w:b w:val="1"/>
                <w:bCs w:val="1"/>
                <w:color w:val="auto"/>
              </w:rPr>
              <w:t>Gross Derivative Liabilities</w:t>
            </w:r>
          </w:p>
        </w:tc>
      </w:tr>
      <w:tr>
        <w:trPr>
          <w:trHeight w:val="277"/>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Derivative Instruments</w:t>
            </w:r>
          </w:p>
        </w:tc>
        <w:tc>
          <w:tcPr>
            <w:tcW w:w="352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Condensed Consolidated Balance Sheets Location</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June 30, 2023</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December 31, 2022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June 30, 2023</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December 31, 2022</w:t>
            </w:r>
          </w:p>
        </w:tc>
      </w:tr>
      <w:tr>
        <w:trPr>
          <w:trHeight w:val="150"/>
        </w:trPr>
        <w:tc>
          <w:tcPr>
            <w:tcW w:w="54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Derivatives designated as hedging instruments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Commodity contracts</w:t>
            </w:r>
          </w:p>
        </w:tc>
        <w:tc>
          <w:tcPr>
            <w:tcW w:w="366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Short-term derivative assets, net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1820" w:type="dxa"/>
            <w:vAlign w:val="bottom"/>
          </w:tcPr>
          <w:p>
            <w:pPr>
              <w:spacing w:after="0"/>
              <w:rPr>
                <w:sz w:val="13"/>
                <w:szCs w:val="13"/>
                <w:color w:val="auto"/>
              </w:rPr>
            </w:pPr>
          </w:p>
        </w:tc>
        <w:tc>
          <w:tcPr>
            <w:tcW w:w="3660" w:type="dxa"/>
            <w:vAlign w:val="bottom"/>
            <w:gridSpan w:val="2"/>
          </w:tcPr>
          <w:p>
            <w:pPr>
              <w:ind w:left="480"/>
              <w:spacing w:after="0"/>
              <w:rPr>
                <w:sz w:val="20"/>
                <w:szCs w:val="20"/>
                <w:color w:val="auto"/>
              </w:rPr>
            </w:pPr>
            <w:r>
              <w:rPr>
                <w:rFonts w:ascii="Arial" w:cs="Arial" w:eastAsia="Arial" w:hAnsi="Arial"/>
                <w:sz w:val="11"/>
                <w:szCs w:val="11"/>
                <w:color w:val="auto"/>
              </w:rPr>
              <w:t>Short-term derivative liabilities, net</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6.7</w:t>
            </w:r>
          </w:p>
        </w:tc>
      </w:tr>
      <w:tr>
        <w:trPr>
          <w:trHeight w:val="216"/>
        </w:trPr>
        <w:tc>
          <w:tcPr>
            <w:tcW w:w="18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55"/>
        </w:trPr>
        <w:tc>
          <w:tcPr>
            <w:tcW w:w="1820" w:type="dxa"/>
            <w:vAlign w:val="bottom"/>
          </w:tcPr>
          <w:p>
            <w:pPr>
              <w:ind w:left="20"/>
              <w:spacing w:after="0"/>
              <w:rPr>
                <w:sz w:val="20"/>
                <w:szCs w:val="20"/>
                <w:color w:val="auto"/>
              </w:rPr>
            </w:pPr>
            <w:r>
              <w:rPr>
                <w:rFonts w:ascii="Arial" w:cs="Arial" w:eastAsia="Arial" w:hAnsi="Arial"/>
                <w:sz w:val="11"/>
                <w:szCs w:val="11"/>
                <w:color w:val="auto"/>
              </w:rPr>
              <w:t>Interest rate contracts</w:t>
            </w:r>
          </w:p>
        </w:tc>
        <w:tc>
          <w:tcPr>
            <w:tcW w:w="3660" w:type="dxa"/>
            <w:vAlign w:val="bottom"/>
            <w:gridSpan w:val="2"/>
          </w:tcPr>
          <w:p>
            <w:pPr>
              <w:ind w:left="480"/>
              <w:spacing w:after="0"/>
              <w:rPr>
                <w:sz w:val="20"/>
                <w:szCs w:val="20"/>
                <w:color w:val="auto"/>
              </w:rPr>
            </w:pPr>
            <w:r>
              <w:rPr>
                <w:rFonts w:ascii="Arial" w:cs="Arial" w:eastAsia="Arial" w:hAnsi="Arial"/>
                <w:sz w:val="11"/>
                <w:szCs w:val="11"/>
                <w:color w:val="auto"/>
              </w:rPr>
              <w:t>Short-term derivative assets, net</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12.9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1820" w:type="dxa"/>
            <w:vAlign w:val="bottom"/>
            <w:shd w:val="clear" w:color="auto" w:fill="CCEEFF"/>
          </w:tcPr>
          <w:p>
            <w:pPr>
              <w:spacing w:after="0"/>
              <w:rPr>
                <w:sz w:val="13"/>
                <w:szCs w:val="13"/>
                <w:color w:val="auto"/>
              </w:rPr>
            </w:pPr>
          </w:p>
        </w:tc>
        <w:tc>
          <w:tcPr>
            <w:tcW w:w="366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Other non-current assets</w:t>
            </w: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Total derivatives designated as hedging instruments</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w:t>
            </w:r>
          </w:p>
        </w:tc>
      </w:tr>
      <w:tr>
        <w:trPr>
          <w:trHeight w:val="192"/>
        </w:trPr>
        <w:tc>
          <w:tcPr>
            <w:tcW w:w="182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59"/>
        </w:trPr>
        <w:tc>
          <w:tcPr>
            <w:tcW w:w="54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Derivatives not designated as hedging instruments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Commodity contracts</w:t>
            </w:r>
          </w:p>
        </w:tc>
        <w:tc>
          <w:tcPr>
            <w:tcW w:w="366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Short-term derivative assets, net</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w:t>
            </w:r>
          </w:p>
        </w:tc>
      </w:tr>
      <w:tr>
        <w:trPr>
          <w:trHeight w:val="155"/>
        </w:trPr>
        <w:tc>
          <w:tcPr>
            <w:tcW w:w="1820" w:type="dxa"/>
            <w:vAlign w:val="bottom"/>
          </w:tcPr>
          <w:p>
            <w:pPr>
              <w:spacing w:after="0"/>
              <w:rPr>
                <w:sz w:val="13"/>
                <w:szCs w:val="13"/>
                <w:color w:val="auto"/>
              </w:rPr>
            </w:pPr>
          </w:p>
        </w:tc>
        <w:tc>
          <w:tcPr>
            <w:tcW w:w="3660" w:type="dxa"/>
            <w:vAlign w:val="bottom"/>
            <w:gridSpan w:val="2"/>
          </w:tcPr>
          <w:p>
            <w:pPr>
              <w:ind w:left="480"/>
              <w:spacing w:after="0"/>
              <w:rPr>
                <w:sz w:val="20"/>
                <w:szCs w:val="20"/>
                <w:color w:val="auto"/>
              </w:rPr>
            </w:pPr>
            <w:r>
              <w:rPr>
                <w:rFonts w:ascii="Arial" w:cs="Arial" w:eastAsia="Arial" w:hAnsi="Arial"/>
                <w:sz w:val="11"/>
                <w:szCs w:val="11"/>
                <w:color w:val="auto"/>
              </w:rPr>
              <w:t>Other non-current assets</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192.7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293.3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54.8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66.9</w:t>
            </w:r>
          </w:p>
        </w:tc>
      </w:tr>
      <w:tr>
        <w:trPr>
          <w:trHeight w:val="163"/>
        </w:trPr>
        <w:tc>
          <w:tcPr>
            <w:tcW w:w="18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Short-term derivative liabilities, net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423.1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507.4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936.3</w:t>
            </w:r>
          </w:p>
        </w:tc>
      </w:tr>
      <w:tr>
        <w:trPr>
          <w:trHeight w:val="149"/>
        </w:trPr>
        <w:tc>
          <w:tcPr>
            <w:tcW w:w="1820" w:type="dxa"/>
            <w:vAlign w:val="bottom"/>
          </w:tcPr>
          <w:p>
            <w:pPr>
              <w:spacing w:after="0"/>
              <w:rPr>
                <w:sz w:val="12"/>
                <w:szCs w:val="12"/>
                <w:color w:val="auto"/>
              </w:rPr>
            </w:pPr>
          </w:p>
        </w:tc>
        <w:tc>
          <w:tcPr>
            <w:tcW w:w="3660" w:type="dxa"/>
            <w:vAlign w:val="bottom"/>
            <w:gridSpan w:val="2"/>
          </w:tcPr>
          <w:p>
            <w:pPr>
              <w:ind w:left="480"/>
              <w:spacing w:after="0"/>
              <w:rPr>
                <w:sz w:val="20"/>
                <w:szCs w:val="20"/>
                <w:color w:val="auto"/>
              </w:rPr>
            </w:pPr>
            <w:r>
              <w:rPr>
                <w:rFonts w:ascii="Arial" w:cs="Arial" w:eastAsia="Arial" w:hAnsi="Arial"/>
                <w:sz w:val="11"/>
                <w:szCs w:val="11"/>
                <w:color w:val="auto"/>
              </w:rPr>
              <w:t>Other long-term liabilities</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201.8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254.4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399.8</w:t>
            </w:r>
          </w:p>
        </w:tc>
      </w:tr>
      <w:tr>
        <w:trPr>
          <w:trHeight w:val="212"/>
        </w:trPr>
        <w:tc>
          <w:tcPr>
            <w:tcW w:w="18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55"/>
        </w:trPr>
        <w:tc>
          <w:tcPr>
            <w:tcW w:w="1820" w:type="dxa"/>
            <w:vAlign w:val="bottom"/>
          </w:tcPr>
          <w:p>
            <w:pPr>
              <w:ind w:left="20"/>
              <w:spacing w:after="0"/>
              <w:rPr>
                <w:sz w:val="20"/>
                <w:szCs w:val="20"/>
                <w:color w:val="auto"/>
              </w:rPr>
            </w:pPr>
            <w:r>
              <w:rPr>
                <w:rFonts w:ascii="Arial" w:cs="Arial" w:eastAsia="Arial" w:hAnsi="Arial"/>
                <w:sz w:val="11"/>
                <w:szCs w:val="11"/>
                <w:color w:val="auto"/>
              </w:rPr>
              <w:t>Foreign currency contracts</w:t>
            </w:r>
          </w:p>
        </w:tc>
        <w:tc>
          <w:tcPr>
            <w:tcW w:w="3660" w:type="dxa"/>
            <w:vAlign w:val="bottom"/>
            <w:gridSpan w:val="2"/>
          </w:tcPr>
          <w:p>
            <w:pPr>
              <w:ind w:left="480"/>
              <w:spacing w:after="0"/>
              <w:rPr>
                <w:sz w:val="20"/>
                <w:szCs w:val="20"/>
                <w:color w:val="auto"/>
              </w:rPr>
            </w:pPr>
            <w:r>
              <w:rPr>
                <w:rFonts w:ascii="Arial" w:cs="Arial" w:eastAsia="Arial" w:hAnsi="Arial"/>
                <w:sz w:val="11"/>
                <w:szCs w:val="11"/>
                <w:color w:val="auto"/>
              </w:rPr>
              <w:t>Short-term derivative assets, net</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18.5</w:t>
            </w:r>
          </w:p>
        </w:tc>
      </w:tr>
      <w:tr>
        <w:trPr>
          <w:trHeight w:val="163"/>
        </w:trPr>
        <w:tc>
          <w:tcPr>
            <w:tcW w:w="18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Other non-current assets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r>
      <w:tr>
        <w:trPr>
          <w:trHeight w:val="149"/>
        </w:trPr>
        <w:tc>
          <w:tcPr>
            <w:tcW w:w="1820" w:type="dxa"/>
            <w:vAlign w:val="bottom"/>
          </w:tcPr>
          <w:p>
            <w:pPr>
              <w:spacing w:after="0"/>
              <w:rPr>
                <w:sz w:val="12"/>
                <w:szCs w:val="12"/>
                <w:color w:val="auto"/>
              </w:rPr>
            </w:pPr>
          </w:p>
        </w:tc>
        <w:tc>
          <w:tcPr>
            <w:tcW w:w="3660" w:type="dxa"/>
            <w:vAlign w:val="bottom"/>
            <w:gridSpan w:val="2"/>
          </w:tcPr>
          <w:p>
            <w:pPr>
              <w:ind w:left="480"/>
              <w:spacing w:after="0"/>
              <w:rPr>
                <w:sz w:val="20"/>
                <w:szCs w:val="20"/>
                <w:color w:val="auto"/>
              </w:rPr>
            </w:pPr>
            <w:r>
              <w:rPr>
                <w:rFonts w:ascii="Arial" w:cs="Arial" w:eastAsia="Arial" w:hAnsi="Arial"/>
                <w:sz w:val="11"/>
                <w:szCs w:val="11"/>
                <w:color w:val="auto"/>
              </w:rPr>
              <w:t>Short-term derivative liabilities, net</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19.8</w:t>
            </w:r>
          </w:p>
        </w:tc>
      </w:tr>
      <w:tr>
        <w:trPr>
          <w:trHeight w:val="159"/>
        </w:trPr>
        <w:tc>
          <w:tcPr>
            <w:tcW w:w="182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Other long-term liabilities</w:t>
            </w: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0.2</w:t>
            </w: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0.6</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r>
      <w:tr>
        <w:trPr>
          <w:trHeight w:val="150"/>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Total derivatives not designated as hedging instruments</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955.8</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1,319.2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963.7</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1,484.1</w:t>
            </w:r>
          </w:p>
        </w:tc>
      </w:tr>
      <w:tr>
        <w:trPr>
          <w:trHeight w:val="15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derivatives</w:t>
            </w:r>
          </w:p>
        </w:tc>
        <w:tc>
          <w:tcPr>
            <w:tcW w:w="3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1,490.8</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our derivative instruments measured at fair value after netting and collateral, see Note 5. Fair Value Measurements.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amounts were recorded on our Consolidated Balance Sheets related to cumulative basis adjustments for fair value hedges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jc w:val="center"/>
              <w:spacing w:after="0"/>
              <w:rPr>
                <w:sz w:val="20"/>
                <w:szCs w:val="20"/>
                <w:color w:val="auto"/>
              </w:rPr>
            </w:pPr>
            <w:r>
              <w:rPr>
                <w:rFonts w:ascii="Arial" w:cs="Arial" w:eastAsia="Arial" w:hAnsi="Arial"/>
                <w:sz w:val="11"/>
                <w:szCs w:val="11"/>
                <w:b w:val="1"/>
                <w:bCs w:val="1"/>
                <w:color w:val="auto"/>
              </w:rPr>
              <w:t>Line item in the Consolidated Balance Sheets in which the hedged</w:t>
            </w:r>
          </w:p>
        </w:tc>
        <w:tc>
          <w:tcPr>
            <w:tcW w:w="140" w:type="dxa"/>
            <w:vAlign w:val="bottom"/>
          </w:tcPr>
          <w:p>
            <w:pPr>
              <w:spacing w:after="0"/>
              <w:rPr>
                <w:sz w:val="10"/>
                <w:szCs w:val="10"/>
                <w:color w:val="auto"/>
              </w:rPr>
            </w:pPr>
          </w:p>
        </w:tc>
        <w:tc>
          <w:tcPr>
            <w:tcW w:w="3300" w:type="dxa"/>
            <w:vAlign w:val="bottom"/>
            <w:gridSpan w:val="4"/>
            <w:vMerge w:val="restart"/>
          </w:tcPr>
          <w:p>
            <w:pPr>
              <w:jc w:val="right"/>
              <w:ind w:right="156"/>
              <w:spacing w:after="0"/>
              <w:rPr>
                <w:sz w:val="20"/>
                <w:szCs w:val="20"/>
                <w:color w:val="auto"/>
              </w:rPr>
            </w:pPr>
            <w:r>
              <w:rPr>
                <w:rFonts w:ascii="Arial" w:cs="Arial" w:eastAsia="Arial" w:hAnsi="Arial"/>
                <w:sz w:val="11"/>
                <w:szCs w:val="11"/>
                <w:b w:val="1"/>
                <w:bCs w:val="1"/>
                <w:color w:val="auto"/>
              </w:rPr>
              <w:t>Carrying Amount of Hedged Assets/(Liabilities)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40" w:type="dxa"/>
            <w:vAlign w:val="bottom"/>
            <w:gridSpan w:val="5"/>
          </w:tcPr>
          <w:p>
            <w:pPr>
              <w:jc w:val="right"/>
              <w:spacing w:after="0"/>
              <w:rPr>
                <w:sz w:val="20"/>
                <w:szCs w:val="20"/>
                <w:color w:val="auto"/>
              </w:rPr>
            </w:pPr>
            <w:r>
              <w:rPr>
                <w:rFonts w:ascii="Arial" w:cs="Arial" w:eastAsia="Arial" w:hAnsi="Arial"/>
                <w:sz w:val="11"/>
                <w:szCs w:val="11"/>
                <w:b w:val="1"/>
                <w:bCs w:val="1"/>
                <w:color w:val="auto"/>
              </w:rPr>
              <w:t>Cumulative Amount of Fair Value Hedging Adjustment Included in</w:t>
            </w: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item is included</w:t>
            </w:r>
          </w:p>
        </w:tc>
        <w:tc>
          <w:tcPr>
            <w:tcW w:w="140" w:type="dxa"/>
            <w:vAlign w:val="bottom"/>
          </w:tcPr>
          <w:p>
            <w:pPr>
              <w:spacing w:after="0"/>
              <w:rPr>
                <w:sz w:val="12"/>
                <w:szCs w:val="12"/>
                <w:color w:val="auto"/>
              </w:rPr>
            </w:pPr>
          </w:p>
        </w:tc>
        <w:tc>
          <w:tcPr>
            <w:tcW w:w="3300" w:type="dxa"/>
            <w:vAlign w:val="bottom"/>
            <w:tcBorders>
              <w:bottom w:val="single" w:sz="8" w:color="auto"/>
            </w:tcBorders>
            <w:gridSpan w:val="4"/>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1"/>
                <w:szCs w:val="11"/>
                <w:b w:val="1"/>
                <w:bCs w:val="1"/>
                <w:color w:val="auto"/>
              </w:rPr>
              <w:t>the Carrying Amount of the Hedged Asset/(Liabilities)</w:t>
            </w:r>
          </w:p>
        </w:tc>
        <w:tc>
          <w:tcPr>
            <w:tcW w:w="0" w:type="dxa"/>
            <w:vAlign w:val="bottom"/>
          </w:tcPr>
          <w:p>
            <w:pPr>
              <w:spacing w:after="0"/>
              <w:rPr>
                <w:sz w:val="1"/>
                <w:szCs w:val="1"/>
                <w:color w:val="auto"/>
              </w:rPr>
            </w:pPr>
          </w:p>
        </w:tc>
      </w:tr>
      <w:tr>
        <w:trPr>
          <w:trHeight w:val="150"/>
        </w:trPr>
        <w:tc>
          <w:tcPr>
            <w:tcW w:w="37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June 30, 2023</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2022</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June 30, 2023</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7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60.7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Earnings and Other Comprehensive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Derivatives Designated as Hedging Instruments</w:t>
      </w:r>
    </w:p>
    <w:p>
      <w:pPr>
        <w:spacing w:after="0" w:line="1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following table presents, on a pre-tax basis, the location and amount of gains (losses) on fair value and cash flow hedges recognized in income in our Condensed Consolidated Statements of Income and Comprehensive Income (in millions):</w:t>
      </w:r>
    </w:p>
    <w:p>
      <w:pPr>
        <w:spacing w:after="0" w:line="90" w:lineRule="exact"/>
        <w:rPr>
          <w:sz w:val="20"/>
          <w:szCs w:val="20"/>
          <w:color w:val="auto"/>
        </w:rPr>
      </w:pPr>
    </w:p>
    <w:p>
      <w:pPr>
        <w:ind w:left="6900"/>
        <w:spacing w:after="0"/>
        <w:rPr>
          <w:sz w:val="20"/>
          <w:szCs w:val="20"/>
          <w:color w:val="auto"/>
        </w:rPr>
      </w:pPr>
      <w:r>
        <w:rPr>
          <w:rFonts w:ascii="Arial" w:cs="Arial" w:eastAsia="Arial" w:hAnsi="Arial"/>
          <w:sz w:val="11"/>
          <w:szCs w:val="11"/>
          <w:b w:val="1"/>
          <w:bCs w:val="1"/>
          <w:color w:val="auto"/>
        </w:rPr>
        <w:t>For the Three Months Ended</w:t>
      </w:r>
    </w:p>
    <w:p>
      <w:pPr>
        <w:spacing w:after="0" w:line="32" w:lineRule="exact"/>
        <w:rPr>
          <w:sz w:val="20"/>
          <w:szCs w:val="20"/>
          <w:color w:val="auto"/>
        </w:rPr>
      </w:pPr>
    </w:p>
    <w:tbl>
      <w:tblPr>
        <w:tblLayout w:type="fixed"/>
        <w:tblInd w:w="4060" w:type="dxa"/>
        <w:tblCellMar>
          <w:top w:w="0" w:type="dxa"/>
          <w:left w:w="0" w:type="dxa"/>
          <w:bottom w:w="0" w:type="dxa"/>
          <w:right w:w="0" w:type="dxa"/>
        </w:tblCellMar>
      </w:tblPr>
      <w:tr>
        <w:trPr>
          <w:trHeight w:val="140"/>
        </w:trPr>
        <w:tc>
          <w:tcPr>
            <w:tcW w:w="9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1"/>
                <w:szCs w:val="11"/>
                <w:b w:val="1"/>
                <w:bCs w:val="1"/>
                <w:color w:val="auto"/>
              </w:rPr>
              <w:t>June 30, 2023</w:t>
            </w:r>
          </w:p>
        </w:tc>
        <w:tc>
          <w:tcPr>
            <w:tcW w:w="1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1"/>
                <w:szCs w:val="11"/>
                <w:b w:val="1"/>
                <w:bCs w:val="1"/>
                <w:color w:val="auto"/>
              </w:rPr>
              <w:t>June 30, 2022</w:t>
            </w:r>
          </w:p>
        </w:tc>
        <w:tc>
          <w:tcPr>
            <w:tcW w:w="13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Interest expense and</w:t>
            </w: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Interest expense and</w:t>
            </w:r>
          </w:p>
        </w:tc>
        <w:tc>
          <w:tcPr>
            <w:tcW w:w="0" w:type="dxa"/>
            <w:vAlign w:val="bottom"/>
          </w:tcPr>
          <w:p>
            <w:pPr>
              <w:spacing w:after="0"/>
              <w:rPr>
                <w:sz w:val="1"/>
                <w:szCs w:val="1"/>
                <w:color w:val="auto"/>
              </w:rPr>
            </w:pPr>
          </w:p>
        </w:tc>
      </w:tr>
      <w:tr>
        <w:trPr>
          <w:trHeight w:val="117"/>
        </w:trPr>
        <w:tc>
          <w:tcPr>
            <w:tcW w:w="9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Revenue</w:t>
            </w:r>
          </w:p>
        </w:tc>
        <w:tc>
          <w:tcPr>
            <w:tcW w:w="12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Cost of revenue</w:t>
            </w:r>
          </w:p>
        </w:tc>
        <w:tc>
          <w:tcPr>
            <w:tcW w:w="13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other financing costs,</w:t>
            </w:r>
          </w:p>
        </w:tc>
        <w:tc>
          <w:tcPr>
            <w:tcW w:w="140" w:type="dxa"/>
            <w:vAlign w:val="bottom"/>
          </w:tcPr>
          <w:p>
            <w:pPr>
              <w:spacing w:after="0"/>
              <w:rPr>
                <w:sz w:val="10"/>
                <w:szCs w:val="10"/>
                <w:color w:val="auto"/>
              </w:rPr>
            </w:pPr>
          </w:p>
        </w:tc>
        <w:tc>
          <w:tcPr>
            <w:tcW w:w="9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Revenue</w:t>
            </w:r>
          </w:p>
        </w:tc>
        <w:tc>
          <w:tcPr>
            <w:tcW w:w="12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Cost of revenue</w:t>
            </w:r>
          </w:p>
        </w:tc>
        <w:tc>
          <w:tcPr>
            <w:tcW w:w="13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other financing costs,</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rPr>
              <w:t>net</w:t>
            </w: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75260"/>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tbl>
      <w:tblPr>
        <w:tblLayout w:type="fixed"/>
        <w:tblInd w:w="20" w:type="dxa"/>
        <w:tblCellMar>
          <w:top w:w="0" w:type="dxa"/>
          <w:left w:w="0" w:type="dxa"/>
          <w:bottom w:w="0" w:type="dxa"/>
          <w:right w:w="0" w:type="dxa"/>
        </w:tblCellMar>
      </w:tblPr>
      <w:tr>
        <w:trPr>
          <w:trHeight w:val="107"/>
        </w:trPr>
        <w:tc>
          <w:tcPr>
            <w:tcW w:w="4040" w:type="dxa"/>
            <w:vAlign w:val="bottom"/>
          </w:tcPr>
          <w:p>
            <w:pPr>
              <w:spacing w:after="0" w:line="107" w:lineRule="exact"/>
              <w:rPr>
                <w:sz w:val="20"/>
                <w:szCs w:val="20"/>
                <w:color w:val="auto"/>
              </w:rPr>
            </w:pPr>
            <w:r>
              <w:rPr>
                <w:rFonts w:ascii="Arial" w:cs="Arial" w:eastAsia="Arial" w:hAnsi="Arial"/>
                <w:sz w:val="11"/>
                <w:szCs w:val="11"/>
                <w:color w:val="auto"/>
              </w:rPr>
              <w:t>Total amounts of income and expense line items in which the effects of fair</w:t>
            </w:r>
          </w:p>
        </w:tc>
        <w:tc>
          <w:tcPr>
            <w:tcW w:w="28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10,980.7</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Arial" w:cs="Arial" w:eastAsia="Arial" w:hAnsi="Arial"/>
                <w:sz w:val="11"/>
                <w:szCs w:val="11"/>
                <w:color w:val="auto"/>
              </w:rPr>
              <w:t>value or cash flow hedged are recorded</w:t>
            </w:r>
          </w:p>
        </w:tc>
        <w:tc>
          <w:tcPr>
            <w:tcW w:w="2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80"/>
              <w:spacing w:after="0"/>
              <w:rPr>
                <w:sz w:val="20"/>
                <w:szCs w:val="20"/>
                <w:color w:val="auto"/>
              </w:rPr>
            </w:pPr>
            <w:r>
              <w:rPr>
                <w:rFonts w:ascii="Arial" w:cs="Arial" w:eastAsia="Arial" w:hAnsi="Arial"/>
                <w:sz w:val="11"/>
                <w:szCs w:val="11"/>
                <w:color w:val="auto"/>
              </w:rPr>
              <w:t>Gains (losses) on fair value hedge relationships:</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40" w:type="dxa"/>
            <w:vAlign w:val="bottom"/>
          </w:tcPr>
          <w:p>
            <w:pPr>
              <w:ind w:left="180"/>
              <w:spacing w:after="0"/>
              <w:rPr>
                <w:sz w:val="20"/>
                <w:szCs w:val="20"/>
                <w:color w:val="auto"/>
              </w:rPr>
            </w:pPr>
            <w:r>
              <w:rPr>
                <w:rFonts w:ascii="Arial" w:cs="Arial" w:eastAsia="Arial" w:hAnsi="Arial"/>
                <w:sz w:val="11"/>
                <w:szCs w:val="11"/>
                <w:color w:val="auto"/>
              </w:rPr>
              <w:t>Commodity contracts:</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340"/>
              <w:spacing w:after="0"/>
              <w:rPr>
                <w:sz w:val="20"/>
                <w:szCs w:val="20"/>
                <w:color w:val="auto"/>
              </w:rPr>
            </w:pPr>
            <w:r>
              <w:rPr>
                <w:rFonts w:ascii="Arial" w:cs="Arial" w:eastAsia="Arial" w:hAnsi="Arial"/>
                <w:sz w:val="11"/>
                <w:szCs w:val="11"/>
                <w:color w:val="auto"/>
              </w:rPr>
              <w:t>Hedged item</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40" w:type="dxa"/>
            <w:vAlign w:val="bottom"/>
          </w:tcPr>
          <w:p>
            <w:pPr>
              <w:ind w:left="340"/>
              <w:spacing w:after="0"/>
              <w:rPr>
                <w:sz w:val="20"/>
                <w:szCs w:val="20"/>
                <w:color w:val="auto"/>
              </w:rPr>
            </w:pPr>
            <w:r>
              <w:rPr>
                <w:rFonts w:ascii="Arial" w:cs="Arial" w:eastAsia="Arial" w:hAnsi="Arial"/>
                <w:sz w:val="11"/>
                <w:szCs w:val="11"/>
                <w:color w:val="auto"/>
              </w:rPr>
              <w:t>Derivatives designated as hedging instruments</w:t>
            </w: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40" w:type="dxa"/>
            <w:vAlign w:val="bottom"/>
          </w:tcPr>
          <w:p>
            <w:pPr>
              <w:ind w:left="340"/>
              <w:spacing w:after="0" w:line="125" w:lineRule="exact"/>
              <w:rPr>
                <w:sz w:val="20"/>
                <w:szCs w:val="20"/>
                <w:color w:val="auto"/>
              </w:rPr>
            </w:pPr>
            <w:r>
              <w:rPr>
                <w:rFonts w:ascii="Arial" w:cs="Arial" w:eastAsia="Arial" w:hAnsi="Arial"/>
                <w:sz w:val="11"/>
                <w:szCs w:val="11"/>
                <w:color w:val="auto"/>
              </w:rPr>
              <w:t>Amount excluded from effectiveness testing recognized in earnings</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340"/>
              <w:spacing w:after="0"/>
              <w:rPr>
                <w:sz w:val="20"/>
                <w:szCs w:val="20"/>
                <w:color w:val="auto"/>
              </w:rPr>
            </w:pPr>
            <w:r>
              <w:rPr>
                <w:rFonts w:ascii="Arial" w:cs="Arial" w:eastAsia="Arial" w:hAnsi="Arial"/>
                <w:sz w:val="11"/>
                <w:szCs w:val="11"/>
                <w:color w:val="auto"/>
              </w:rPr>
              <w:t>based on amortization approach</w:t>
            </w: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80"/>
              <w:spacing w:after="0"/>
              <w:rPr>
                <w:sz w:val="20"/>
                <w:szCs w:val="20"/>
                <w:color w:val="auto"/>
              </w:rPr>
            </w:pPr>
            <w:r>
              <w:rPr>
                <w:rFonts w:ascii="Arial" w:cs="Arial" w:eastAsia="Arial" w:hAnsi="Arial"/>
                <w:sz w:val="11"/>
                <w:szCs w:val="11"/>
                <w:color w:val="auto"/>
              </w:rPr>
              <w:t>Gains (losses) on cash flow hedge relationships:</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40" w:type="dxa"/>
            <w:vAlign w:val="bottom"/>
          </w:tcPr>
          <w:p>
            <w:pPr>
              <w:ind w:left="180"/>
              <w:spacing w:after="0"/>
              <w:rPr>
                <w:sz w:val="20"/>
                <w:szCs w:val="20"/>
                <w:color w:val="auto"/>
              </w:rPr>
            </w:pPr>
            <w:r>
              <w:rPr>
                <w:rFonts w:ascii="Arial" w:cs="Arial" w:eastAsia="Arial" w:hAnsi="Arial"/>
                <w:sz w:val="11"/>
                <w:szCs w:val="11"/>
                <w:color w:val="auto"/>
              </w:rPr>
              <w:t>Commodity contracts:</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40" w:type="dxa"/>
            <w:vAlign w:val="bottom"/>
          </w:tcPr>
          <w:p>
            <w:pPr>
              <w:ind w:left="340"/>
              <w:spacing w:after="0" w:line="121" w:lineRule="exact"/>
              <w:rPr>
                <w:sz w:val="20"/>
                <w:szCs w:val="20"/>
                <w:color w:val="auto"/>
              </w:rPr>
            </w:pPr>
            <w:r>
              <w:rPr>
                <w:rFonts w:ascii="Arial" w:cs="Arial" w:eastAsia="Arial" w:hAnsi="Arial"/>
                <w:sz w:val="11"/>
                <w:szCs w:val="11"/>
                <w:color w:val="auto"/>
              </w:rPr>
              <w:t>Amount of gain (loss) reclassified from Accumulated other</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340"/>
              <w:spacing w:after="0"/>
              <w:rPr>
                <w:sz w:val="20"/>
                <w:szCs w:val="20"/>
                <w:color w:val="auto"/>
              </w:rPr>
            </w:pPr>
            <w:r>
              <w:rPr>
                <w:rFonts w:ascii="Arial" w:cs="Arial" w:eastAsia="Arial" w:hAnsi="Arial"/>
                <w:sz w:val="11"/>
                <w:szCs w:val="11"/>
                <w:color w:val="auto"/>
              </w:rPr>
              <w:t>comprehensive income (loss) into net income</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tcPr>
          <w:p>
            <w:pPr>
              <w:ind w:left="340"/>
              <w:spacing w:after="0" w:line="125" w:lineRule="exact"/>
              <w:rPr>
                <w:sz w:val="20"/>
                <w:szCs w:val="20"/>
                <w:color w:val="auto"/>
              </w:rPr>
            </w:pPr>
            <w:r>
              <w:rPr>
                <w:rFonts w:ascii="Arial" w:cs="Arial" w:eastAsia="Arial" w:hAnsi="Arial"/>
                <w:sz w:val="11"/>
                <w:szCs w:val="11"/>
                <w:color w:val="auto"/>
              </w:rPr>
              <w:t>Amount excluded from effectiveness testing recognized in earnings</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340"/>
              <w:spacing w:after="0"/>
              <w:rPr>
                <w:sz w:val="20"/>
                <w:szCs w:val="20"/>
                <w:color w:val="auto"/>
              </w:rPr>
            </w:pPr>
            <w:r>
              <w:rPr>
                <w:rFonts w:ascii="Arial" w:cs="Arial" w:eastAsia="Arial" w:hAnsi="Arial"/>
                <w:sz w:val="11"/>
                <w:szCs w:val="11"/>
                <w:color w:val="auto"/>
              </w:rPr>
              <w:t>based on changes in fair value</w:t>
            </w: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180"/>
              <w:spacing w:after="0"/>
              <w:rPr>
                <w:sz w:val="20"/>
                <w:szCs w:val="20"/>
                <w:color w:val="auto"/>
              </w:rPr>
            </w:pPr>
            <w:r>
              <w:rPr>
                <w:rFonts w:ascii="Arial" w:cs="Arial" w:eastAsia="Arial" w:hAnsi="Arial"/>
                <w:sz w:val="11"/>
                <w:szCs w:val="11"/>
                <w:color w:val="auto"/>
              </w:rPr>
              <w:t>Interest rate contracts:</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40" w:type="dxa"/>
            <w:vAlign w:val="bottom"/>
          </w:tcPr>
          <w:p>
            <w:pPr>
              <w:ind w:left="340"/>
              <w:spacing w:after="0" w:line="125" w:lineRule="exact"/>
              <w:rPr>
                <w:sz w:val="20"/>
                <w:szCs w:val="20"/>
                <w:color w:val="auto"/>
              </w:rPr>
            </w:pPr>
            <w:r>
              <w:rPr>
                <w:rFonts w:ascii="Arial" w:cs="Arial" w:eastAsia="Arial" w:hAnsi="Arial"/>
                <w:sz w:val="11"/>
                <w:szCs w:val="11"/>
                <w:color w:val="auto"/>
              </w:rPr>
              <w:t>Amount of gain (loss) reclassified from Accumulated other</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340"/>
              <w:spacing w:after="0"/>
              <w:rPr>
                <w:sz w:val="20"/>
                <w:szCs w:val="20"/>
                <w:color w:val="auto"/>
              </w:rPr>
            </w:pPr>
            <w:r>
              <w:rPr>
                <w:rFonts w:ascii="Arial" w:cs="Arial" w:eastAsia="Arial" w:hAnsi="Arial"/>
                <w:sz w:val="11"/>
                <w:szCs w:val="11"/>
                <w:color w:val="auto"/>
              </w:rPr>
              <w:t>comprehensive income (loss) into net income</w:t>
            </w: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40" w:type="dxa"/>
            <w:vAlign w:val="bottom"/>
          </w:tcPr>
          <w:p>
            <w:pPr>
              <w:ind w:left="340"/>
              <w:spacing w:after="0"/>
              <w:rPr>
                <w:sz w:val="20"/>
                <w:szCs w:val="20"/>
                <w:color w:val="auto"/>
              </w:rPr>
            </w:pPr>
            <w:r>
              <w:rPr>
                <w:rFonts w:ascii="Arial" w:cs="Arial" w:eastAsia="Arial" w:hAnsi="Arial"/>
                <w:sz w:val="11"/>
                <w:szCs w:val="11"/>
                <w:color w:val="auto"/>
              </w:rPr>
              <w:t>Amount excluded from effectiveness testing recognized in earnings</w:t>
            </w: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tcPr>
          <w:p>
            <w:pPr>
              <w:ind w:left="340"/>
              <w:spacing w:after="0"/>
              <w:rPr>
                <w:sz w:val="20"/>
                <w:szCs w:val="20"/>
                <w:color w:val="auto"/>
              </w:rPr>
            </w:pPr>
            <w:r>
              <w:rPr>
                <w:rFonts w:ascii="Arial" w:cs="Arial" w:eastAsia="Arial" w:hAnsi="Arial"/>
                <w:sz w:val="11"/>
                <w:szCs w:val="11"/>
                <w:color w:val="auto"/>
              </w:rPr>
              <w:t>based on changes in fair value</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040" w:type="dxa"/>
            <w:vAlign w:val="bottom"/>
          </w:tcPr>
          <w:p>
            <w:pPr>
              <w:spacing w:after="0" w:line="103" w:lineRule="exact"/>
              <w:rPr>
                <w:sz w:val="20"/>
                <w:szCs w:val="20"/>
                <w:color w:val="auto"/>
              </w:rPr>
            </w:pPr>
            <w:r>
              <w:rPr>
                <w:rFonts w:ascii="Arial" w:cs="Arial" w:eastAsia="Arial" w:hAnsi="Arial"/>
                <w:sz w:val="11"/>
                <w:szCs w:val="11"/>
                <w:color w:val="auto"/>
              </w:rPr>
              <w:t>Total amount of income and expense line items excluding the impact of</w:t>
            </w:r>
          </w:p>
        </w:tc>
        <w:tc>
          <w:tcPr>
            <w:tcW w:w="280" w:type="dxa"/>
            <w:vAlign w:val="bottom"/>
            <w:vMerge w:val="restart"/>
          </w:tcPr>
          <w:p>
            <w:pPr>
              <w:jc w:val="right"/>
              <w:ind w:right="143"/>
              <w:spacing w:after="0"/>
              <w:rPr>
                <w:sz w:val="20"/>
                <w:szCs w:val="20"/>
                <w:color w:val="auto"/>
              </w:rPr>
            </w:pPr>
            <w:r>
              <w:rPr>
                <w:rFonts w:ascii="Arial" w:cs="Arial" w:eastAsia="Arial" w:hAnsi="Arial"/>
                <w:sz w:val="11"/>
                <w:szCs w:val="11"/>
                <w:color w:val="auto"/>
                <w:w w:val="97"/>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10,979.0</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4040" w:type="dxa"/>
            <w:vAlign w:val="bottom"/>
          </w:tcPr>
          <w:p>
            <w:pPr>
              <w:spacing w:after="0"/>
              <w:rPr>
                <w:sz w:val="20"/>
                <w:szCs w:val="20"/>
                <w:color w:val="auto"/>
              </w:rPr>
            </w:pPr>
            <w:r>
              <w:rPr>
                <w:rFonts w:ascii="Arial" w:cs="Arial" w:eastAsia="Arial" w:hAnsi="Arial"/>
                <w:sz w:val="11"/>
                <w:szCs w:val="11"/>
                <w:color w:val="auto"/>
              </w:rPr>
              <w:t>hedges</w:t>
            </w:r>
          </w:p>
        </w:tc>
        <w:tc>
          <w:tcPr>
            <w:tcW w:w="2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10,699.0</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32.5</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17,122.1</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16,868.7</w:t>
            </w:r>
          </w:p>
        </w:tc>
        <w:tc>
          <w:tcPr>
            <w:tcW w:w="68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26.5</w:t>
            </w:r>
          </w:p>
        </w:tc>
      </w:tr>
      <w:tr>
        <w:trPr>
          <w:trHeight w:val="467"/>
        </w:trPr>
        <w:tc>
          <w:tcPr>
            <w:tcW w:w="640" w:type="dxa"/>
            <w:vAlign w:val="bottom"/>
          </w:tcPr>
          <w:p>
            <w:pPr>
              <w:jc w:val="right"/>
              <w:ind w:right="103"/>
              <w:spacing w:after="0"/>
              <w:rPr>
                <w:sz w:val="20"/>
                <w:szCs w:val="20"/>
                <w:color w:val="auto"/>
              </w:rPr>
            </w:pPr>
            <w:r>
              <w:rPr>
                <w:rFonts w:ascii="Arial" w:cs="Arial" w:eastAsia="Arial" w:hAnsi="Arial"/>
                <w:sz w:val="11"/>
                <w:szCs w:val="11"/>
                <w:color w:val="auto"/>
              </w:rPr>
              <w:t>(1.0)</w:t>
            </w:r>
          </w:p>
        </w:tc>
        <w:tc>
          <w:tcPr>
            <w:tcW w:w="5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13.5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9"/>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1.4</w:t>
            </w:r>
          </w:p>
        </w:tc>
        <w:tc>
          <w:tcPr>
            <w:tcW w:w="5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(10.9)</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265"/>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584"/>
        </w:trPr>
        <w:tc>
          <w:tcPr>
            <w:tcW w:w="640" w:type="dxa"/>
            <w:vAlign w:val="bottom"/>
          </w:tcPr>
          <w:p>
            <w:pPr>
              <w:jc w:val="right"/>
              <w:ind w:right="103"/>
              <w:spacing w:after="0"/>
              <w:rPr>
                <w:sz w:val="20"/>
                <w:szCs w:val="20"/>
                <w:color w:val="auto"/>
              </w:rPr>
            </w:pPr>
            <w:r>
              <w:rPr>
                <w:rFonts w:ascii="Arial" w:cs="Arial" w:eastAsia="Arial" w:hAnsi="Arial"/>
                <w:sz w:val="11"/>
                <w:szCs w:val="11"/>
                <w:color w:val="auto"/>
              </w:rPr>
              <w:t>(1.4)</w:t>
            </w:r>
          </w:p>
        </w:tc>
        <w:tc>
          <w:tcPr>
            <w:tcW w:w="5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265"/>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424"/>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269"/>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235"/>
        </w:trPr>
        <w:tc>
          <w:tcPr>
            <w:tcW w:w="640" w:type="dxa"/>
            <w:vAlign w:val="bottom"/>
          </w:tcPr>
          <w:p>
            <w:pPr>
              <w:jc w:val="right"/>
              <w:ind w:right="123"/>
              <w:spacing w:after="0"/>
              <w:rPr>
                <w:sz w:val="20"/>
                <w:szCs w:val="20"/>
                <w:color w:val="auto"/>
              </w:rPr>
            </w:pPr>
            <w:r>
              <w:rPr>
                <w:rFonts w:ascii="Arial" w:cs="Arial" w:eastAsia="Arial" w:hAnsi="Arial"/>
                <w:sz w:val="11"/>
                <w:szCs w:val="11"/>
                <w:color w:val="auto"/>
              </w:rPr>
              <w:t>10,698.0</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36.3</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17,234.3</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16,871.3</w:t>
            </w:r>
          </w:p>
        </w:tc>
        <w:tc>
          <w:tcPr>
            <w:tcW w:w="68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26.3</w:t>
            </w:r>
          </w:p>
        </w:tc>
      </w:tr>
      <w:tr>
        <w:trPr>
          <w:trHeight w:val="20"/>
        </w:trPr>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-1630045</wp:posOffset>
            </wp:positionV>
            <wp:extent cx="716153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9461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-1434465</wp:posOffset>
            </wp:positionV>
            <wp:extent cx="7161530" cy="100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-1164590</wp:posOffset>
            </wp:positionV>
            <wp:extent cx="7161530" cy="100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-969645</wp:posOffset>
            </wp:positionV>
            <wp:extent cx="7161530"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-626110</wp:posOffset>
            </wp:positionV>
            <wp:extent cx="7161530" cy="100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-356235</wp:posOffset>
            </wp:positionV>
            <wp:extent cx="7161530"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-26035</wp:posOffset>
            </wp:positionV>
            <wp:extent cx="6267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745" cy="698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-6350</wp:posOffset>
            </wp:positionV>
            <wp:extent cx="62674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7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400"/>
            <w:col w:w="5620"/>
          </w:cols>
          <w:pgMar w:left="300" w:top="895" w:right="31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1"/>
                <w:szCs w:val="11"/>
                <w:b w:val="1"/>
                <w:bCs w:val="1"/>
                <w:color w:val="auto"/>
              </w:rPr>
              <w:t>For the Six Months Ended</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June 30, 2023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June 30, 2022</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jc w:val="center"/>
              <w:ind w:right="23"/>
              <w:spacing w:after="0" w:line="108" w:lineRule="exact"/>
              <w:rPr>
                <w:sz w:val="20"/>
                <w:szCs w:val="20"/>
                <w:color w:val="auto"/>
              </w:rPr>
            </w:pPr>
            <w:r>
              <w:rPr>
                <w:rFonts w:ascii="Arial" w:cs="Arial" w:eastAsia="Arial" w:hAnsi="Arial"/>
                <w:sz w:val="11"/>
                <w:szCs w:val="11"/>
                <w:b w:val="1"/>
                <w:bCs w:val="1"/>
                <w:color w:val="auto"/>
              </w:rPr>
              <w:t>Interest expense and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jc w:val="center"/>
              <w:ind w:right="23"/>
              <w:spacing w:after="0" w:line="108" w:lineRule="exact"/>
              <w:rPr>
                <w:sz w:val="20"/>
                <w:szCs w:val="20"/>
                <w:color w:val="auto"/>
              </w:rPr>
            </w:pPr>
            <w:r>
              <w:rPr>
                <w:rFonts w:ascii="Arial" w:cs="Arial" w:eastAsia="Arial" w:hAnsi="Arial"/>
                <w:sz w:val="11"/>
                <w:szCs w:val="11"/>
                <w:b w:val="1"/>
                <w:bCs w:val="1"/>
                <w:color w:val="auto"/>
              </w:rPr>
              <w:t>Interest expense and</w:t>
            </w: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Cost of revenue</w:t>
            </w:r>
          </w:p>
        </w:tc>
        <w:tc>
          <w:tcPr>
            <w:tcW w:w="140" w:type="dxa"/>
            <w:vAlign w:val="bottom"/>
            <w:vMerge w:val="restart"/>
          </w:tcPr>
          <w:p>
            <w:pPr>
              <w:spacing w:after="0"/>
              <w:rPr>
                <w:sz w:val="10"/>
                <w:szCs w:val="10"/>
                <w:color w:val="auto"/>
              </w:rPr>
            </w:pPr>
          </w:p>
        </w:tc>
        <w:tc>
          <w:tcPr>
            <w:tcW w:w="130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rPr>
              <w:t>other financing costs,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Revenue</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Cost of revenue</w:t>
            </w:r>
          </w:p>
        </w:tc>
        <w:tc>
          <w:tcPr>
            <w:tcW w:w="140" w:type="dxa"/>
            <w:vAlign w:val="bottom"/>
            <w:vMerge w:val="restart"/>
          </w:tcPr>
          <w:p>
            <w:pPr>
              <w:spacing w:after="0"/>
              <w:rPr>
                <w:sz w:val="10"/>
                <w:szCs w:val="10"/>
                <w:color w:val="auto"/>
              </w:rPr>
            </w:pPr>
          </w:p>
        </w:tc>
        <w:tc>
          <w:tcPr>
            <w:tcW w:w="130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rPr>
              <w:t>other financing costs,</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net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7"/>
        </w:trPr>
        <w:tc>
          <w:tcPr>
            <w:tcW w:w="4060" w:type="dxa"/>
            <w:vAlign w:val="bottom"/>
          </w:tcPr>
          <w:p>
            <w:pPr>
              <w:ind w:left="20"/>
              <w:spacing w:after="0" w:line="107" w:lineRule="exact"/>
              <w:rPr>
                <w:sz w:val="20"/>
                <w:szCs w:val="20"/>
                <w:color w:val="auto"/>
              </w:rPr>
            </w:pPr>
            <w:r>
              <w:rPr>
                <w:rFonts w:ascii="Arial" w:cs="Arial" w:eastAsia="Arial" w:hAnsi="Arial"/>
                <w:sz w:val="11"/>
                <w:szCs w:val="11"/>
                <w:color w:val="auto"/>
              </w:rPr>
              <w:t>Total amounts of income and expense line items in which the effects of fair</w:t>
            </w: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23,462.3</w:t>
            </w:r>
          </w:p>
        </w:tc>
        <w:tc>
          <w:tcPr>
            <w:tcW w:w="320" w:type="dxa"/>
            <w:vAlign w:val="bottom"/>
            <w:gridSpan w:val="2"/>
            <w:vMerge w:val="restart"/>
          </w:tcPr>
          <w:p>
            <w:pPr>
              <w:jc w:val="right"/>
              <w:ind w:right="43"/>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22,917.9</w:t>
            </w:r>
          </w:p>
        </w:tc>
        <w:tc>
          <w:tcPr>
            <w:tcW w:w="14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vMerge w:val="restart"/>
          </w:tcPr>
          <w:p>
            <w:pPr>
              <w:jc w:val="right"/>
              <w:ind w:right="3"/>
              <w:spacing w:after="0"/>
              <w:rPr>
                <w:sz w:val="20"/>
                <w:szCs w:val="20"/>
                <w:color w:val="auto"/>
              </w:rPr>
            </w:pPr>
            <w:r>
              <w:rPr>
                <w:rFonts w:ascii="Arial" w:cs="Arial" w:eastAsia="Arial" w:hAnsi="Arial"/>
                <w:sz w:val="11"/>
                <w:szCs w:val="11"/>
                <w:color w:val="auto"/>
              </w:rPr>
              <w:t>66.8</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29,504.1</w:t>
            </w:r>
          </w:p>
        </w:tc>
        <w:tc>
          <w:tcPr>
            <w:tcW w:w="320" w:type="dxa"/>
            <w:vAlign w:val="bottom"/>
            <w:gridSpan w:val="2"/>
            <w:vMerge w:val="restart"/>
          </w:tcPr>
          <w:p>
            <w:pPr>
              <w:jc w:val="right"/>
              <w:ind w:right="43"/>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29,019.8</w:t>
            </w:r>
          </w:p>
        </w:tc>
        <w:tc>
          <w:tcPr>
            <w:tcW w:w="14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vMerge w:val="restart"/>
          </w:tcPr>
          <w:p>
            <w:pPr>
              <w:jc w:val="right"/>
              <w:ind w:right="3"/>
              <w:spacing w:after="0"/>
              <w:rPr>
                <w:sz w:val="20"/>
                <w:szCs w:val="20"/>
                <w:color w:val="auto"/>
              </w:rPr>
            </w:pPr>
            <w:r>
              <w:rPr>
                <w:rFonts w:ascii="Arial" w:cs="Arial" w:eastAsia="Arial" w:hAnsi="Arial"/>
                <w:sz w:val="11"/>
                <w:szCs w:val="11"/>
                <w:color w:val="auto"/>
              </w:rPr>
              <w:t>40.9</w:t>
            </w:r>
          </w:p>
        </w:tc>
        <w:tc>
          <w:tcPr>
            <w:tcW w:w="0" w:type="dxa"/>
            <w:vAlign w:val="bottom"/>
          </w:tcPr>
          <w:p>
            <w:pPr>
              <w:spacing w:after="0"/>
              <w:rPr>
                <w:sz w:val="1"/>
                <w:szCs w:val="1"/>
                <w:color w:val="auto"/>
              </w:rPr>
            </w:pPr>
          </w:p>
        </w:tc>
      </w:tr>
      <w:tr>
        <w:trPr>
          <w:trHeight w:val="146"/>
        </w:trPr>
        <w:tc>
          <w:tcPr>
            <w:tcW w:w="4060" w:type="dxa"/>
            <w:vAlign w:val="bottom"/>
          </w:tcPr>
          <w:p>
            <w:pPr>
              <w:ind w:left="20"/>
              <w:spacing w:after="0"/>
              <w:rPr>
                <w:sz w:val="20"/>
                <w:szCs w:val="20"/>
                <w:color w:val="auto"/>
              </w:rPr>
            </w:pPr>
            <w:r>
              <w:rPr>
                <w:rFonts w:ascii="Arial" w:cs="Arial" w:eastAsia="Arial" w:hAnsi="Arial"/>
                <w:sz w:val="11"/>
                <w:szCs w:val="11"/>
                <w:color w:val="auto"/>
              </w:rPr>
              <w:t>value or cash flow hedged are recorded</w:t>
            </w: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Gains (losses) on fair value hedge relationships: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180"/>
              <w:spacing w:after="0"/>
              <w:rPr>
                <w:sz w:val="20"/>
                <w:szCs w:val="20"/>
                <w:color w:val="auto"/>
              </w:rPr>
            </w:pPr>
            <w:r>
              <w:rPr>
                <w:rFonts w:ascii="Arial" w:cs="Arial" w:eastAsia="Arial" w:hAnsi="Arial"/>
                <w:sz w:val="11"/>
                <w:szCs w:val="11"/>
                <w:color w:val="auto"/>
              </w:rPr>
              <w:t>Commodity contracts: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Hedged item</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4060" w:type="dxa"/>
            <w:vAlign w:val="bottom"/>
          </w:tcPr>
          <w:p>
            <w:pPr>
              <w:ind w:left="360"/>
              <w:spacing w:after="0"/>
              <w:rPr>
                <w:sz w:val="20"/>
                <w:szCs w:val="20"/>
                <w:color w:val="auto"/>
              </w:rPr>
            </w:pPr>
            <w:r>
              <w:rPr>
                <w:rFonts w:ascii="Arial" w:cs="Arial" w:eastAsia="Arial" w:hAnsi="Arial"/>
                <w:sz w:val="11"/>
                <w:szCs w:val="11"/>
                <w:color w:val="auto"/>
              </w:rPr>
              <w:t>Derivatives designated as hedging instruments</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4060" w:type="dxa"/>
            <w:vAlign w:val="bottom"/>
            <w:shd w:val="clear" w:color="auto" w:fill="CCEEFF"/>
          </w:tcPr>
          <w:p>
            <w:pPr>
              <w:ind w:left="360"/>
              <w:spacing w:after="0" w:line="121" w:lineRule="exact"/>
              <w:rPr>
                <w:sz w:val="20"/>
                <w:szCs w:val="20"/>
                <w:color w:val="auto"/>
              </w:rPr>
            </w:pPr>
            <w:r>
              <w:rPr>
                <w:rFonts w:ascii="Arial" w:cs="Arial" w:eastAsia="Arial" w:hAnsi="Arial"/>
                <w:sz w:val="11"/>
                <w:szCs w:val="11"/>
                <w:color w:val="auto"/>
              </w:rPr>
              <w:t>Amount excluded from effectiveness testing recognized in earnings</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based on amortization approach</w:t>
            </w: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100"/>
              <w:spacing w:after="0"/>
              <w:rPr>
                <w:sz w:val="20"/>
                <w:szCs w:val="20"/>
                <w:color w:val="auto"/>
              </w:rPr>
            </w:pPr>
            <w:r>
              <w:rPr>
                <w:rFonts w:ascii="Arial" w:cs="Arial" w:eastAsia="Arial" w:hAnsi="Arial"/>
                <w:sz w:val="11"/>
                <w:szCs w:val="11"/>
                <w:color w:val="auto"/>
              </w:rPr>
              <w:t>Gains (losses) on cash flow hedge relationships: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Commodity contracts:</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60" w:type="dxa"/>
            <w:vAlign w:val="bottom"/>
          </w:tcPr>
          <w:p>
            <w:pPr>
              <w:ind w:left="360"/>
              <w:spacing w:after="0" w:line="123" w:lineRule="exact"/>
              <w:rPr>
                <w:sz w:val="20"/>
                <w:szCs w:val="20"/>
                <w:color w:val="auto"/>
              </w:rPr>
            </w:pPr>
            <w:r>
              <w:rPr>
                <w:rFonts w:ascii="Arial" w:cs="Arial" w:eastAsia="Arial" w:hAnsi="Arial"/>
                <w:sz w:val="11"/>
                <w:szCs w:val="11"/>
                <w:color w:val="auto"/>
              </w:rPr>
              <w:t>Amount of gain (loss) reclassified from Accumulated other</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360"/>
              <w:spacing w:after="0"/>
              <w:rPr>
                <w:sz w:val="20"/>
                <w:szCs w:val="20"/>
                <w:color w:val="auto"/>
              </w:rPr>
            </w:pPr>
            <w:r>
              <w:rPr>
                <w:rFonts w:ascii="Arial" w:cs="Arial" w:eastAsia="Arial" w:hAnsi="Arial"/>
                <w:sz w:val="11"/>
                <w:szCs w:val="11"/>
                <w:color w:val="auto"/>
              </w:rPr>
              <w:t>comprehensive income (loss) into net income</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(145.6)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4060" w:type="dxa"/>
            <w:vAlign w:val="bottom"/>
            <w:shd w:val="clear" w:color="auto" w:fill="CCEEFF"/>
          </w:tcPr>
          <w:p>
            <w:pPr>
              <w:ind w:left="360"/>
              <w:spacing w:after="0" w:line="121" w:lineRule="exact"/>
              <w:rPr>
                <w:sz w:val="20"/>
                <w:szCs w:val="20"/>
                <w:color w:val="auto"/>
              </w:rPr>
            </w:pPr>
            <w:r>
              <w:rPr>
                <w:rFonts w:ascii="Arial" w:cs="Arial" w:eastAsia="Arial" w:hAnsi="Arial"/>
                <w:sz w:val="11"/>
                <w:szCs w:val="11"/>
                <w:color w:val="auto"/>
              </w:rPr>
              <w:t>Amount excluded from effectiveness testing recognized in earnings</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based on changes in fair value</w:t>
            </w: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100"/>
              <w:spacing w:after="0"/>
              <w:rPr>
                <w:sz w:val="20"/>
                <w:szCs w:val="20"/>
                <w:color w:val="auto"/>
              </w:rPr>
            </w:pPr>
            <w:r>
              <w:rPr>
                <w:rFonts w:ascii="Arial" w:cs="Arial" w:eastAsia="Arial" w:hAnsi="Arial"/>
                <w:sz w:val="11"/>
                <w:szCs w:val="11"/>
                <w:color w:val="auto"/>
              </w:rPr>
              <w:t>Interest rate contracts: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60" w:type="dxa"/>
            <w:vAlign w:val="bottom"/>
            <w:shd w:val="clear" w:color="auto" w:fill="CCEEFF"/>
          </w:tcPr>
          <w:p>
            <w:pPr>
              <w:ind w:left="360"/>
              <w:spacing w:after="0" w:line="121" w:lineRule="exact"/>
              <w:rPr>
                <w:sz w:val="20"/>
                <w:szCs w:val="20"/>
                <w:color w:val="auto"/>
              </w:rPr>
            </w:pPr>
            <w:r>
              <w:rPr>
                <w:rFonts w:ascii="Arial" w:cs="Arial" w:eastAsia="Arial" w:hAnsi="Arial"/>
                <w:sz w:val="11"/>
                <w:szCs w:val="11"/>
                <w:color w:val="auto"/>
              </w:rPr>
              <w:t>Amount of gain (loss) reclassified from Accumulated other</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comprehensive income (loss) into net income</w:t>
            </w: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60" w:type="dxa"/>
            <w:vAlign w:val="bottom"/>
          </w:tcPr>
          <w:p>
            <w:pPr>
              <w:ind w:left="360"/>
              <w:spacing w:after="0" w:line="123" w:lineRule="exact"/>
              <w:rPr>
                <w:sz w:val="20"/>
                <w:szCs w:val="20"/>
                <w:color w:val="auto"/>
              </w:rPr>
            </w:pPr>
            <w:r>
              <w:rPr>
                <w:rFonts w:ascii="Arial" w:cs="Arial" w:eastAsia="Arial" w:hAnsi="Arial"/>
                <w:sz w:val="11"/>
                <w:szCs w:val="11"/>
                <w:color w:val="auto"/>
              </w:rPr>
              <w:t>Amount excluded from effectiveness testing recognized in earnings</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based on changes in fair value</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06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Total amount of income and expense line items excluding the impact of</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23,461.4</w:t>
            </w:r>
          </w:p>
        </w:tc>
        <w:tc>
          <w:tcPr>
            <w:tcW w:w="32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22,917.7</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72.5</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29,649.8</w:t>
            </w:r>
          </w:p>
        </w:tc>
        <w:tc>
          <w:tcPr>
            <w:tcW w:w="32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29,009.8</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hedges</w:t>
            </w:r>
          </w:p>
        </w:tc>
        <w:tc>
          <w:tcPr>
            <w:tcW w:w="16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on a pre-tax basis, the amounts not recorded in Accumulated other comprehensive income (loss) due to intra-period settlement but recognized 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Revenue and Cost of revenue in our Condensed Consolidated Statements of Income and Comprehensive Income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Gain (Loss) Not Recorded in Accumulated other</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jc w:val="right"/>
              <w:ind w:right="49"/>
              <w:spacing w:after="0"/>
              <w:rPr>
                <w:sz w:val="20"/>
                <w:szCs w:val="20"/>
                <w:color w:val="auto"/>
              </w:rPr>
            </w:pPr>
            <w:r>
              <w:rPr>
                <w:rFonts w:ascii="Arial" w:cs="Arial" w:eastAsia="Arial" w:hAnsi="Arial"/>
                <w:sz w:val="14"/>
                <w:szCs w:val="14"/>
                <w:b w:val="1"/>
                <w:bCs w:val="1"/>
                <w:color w:val="auto"/>
              </w:rPr>
              <w:t>For the Three Months Ended June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3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gridSpan w:val="3"/>
            <w:vMerge w:val="restart"/>
          </w:tcPr>
          <w:p>
            <w:pPr>
              <w:jc w:val="right"/>
              <w:ind w:right="149"/>
              <w:spacing w:after="0"/>
              <w:rPr>
                <w:sz w:val="20"/>
                <w:szCs w:val="20"/>
                <w:color w:val="auto"/>
              </w:rPr>
            </w:pPr>
            <w:r>
              <w:rPr>
                <w:rFonts w:ascii="Arial" w:cs="Arial" w:eastAsia="Arial" w:hAnsi="Arial"/>
                <w:sz w:val="14"/>
                <w:szCs w:val="14"/>
                <w:b w:val="1"/>
                <w:bCs w:val="1"/>
                <w:color w:val="auto"/>
              </w:rPr>
              <w:t>30,</w:t>
            </w: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gridSpan w:val="5"/>
            <w:vMerge w:val="restart"/>
          </w:tcPr>
          <w:p>
            <w:pPr>
              <w:jc w:val="right"/>
              <w:ind w:right="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17"/>
        </w:trPr>
        <w:tc>
          <w:tcPr>
            <w:tcW w:w="39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comprehensive income (loss) Due to Intra-Period</w:t>
            </w:r>
          </w:p>
        </w:tc>
        <w:tc>
          <w:tcPr>
            <w:tcW w:w="140" w:type="dxa"/>
            <w:vAlign w:val="bottom"/>
          </w:tcPr>
          <w:p>
            <w:pPr>
              <w:spacing w:after="0"/>
              <w:rPr>
                <w:sz w:val="10"/>
                <w:szCs w:val="10"/>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8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Borders>
              <w:bottom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Settlement</w:t>
            </w:r>
          </w:p>
        </w:tc>
        <w:tc>
          <w:tcPr>
            <w:tcW w:w="14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40" w:type="dxa"/>
            <w:vAlign w:val="bottom"/>
          </w:tcPr>
          <w:p>
            <w:pPr>
              <w:spacing w:after="0"/>
              <w:rPr>
                <w:sz w:val="15"/>
                <w:szCs w:val="15"/>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(3.8)</w:t>
            </w:r>
          </w:p>
        </w:tc>
        <w:tc>
          <w:tcPr>
            <w:tcW w:w="4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w:t>
            </w:r>
          </w:p>
        </w:tc>
        <w:tc>
          <w:tcPr>
            <w:tcW w:w="960" w:type="dxa"/>
            <w:vAlign w:val="bottom"/>
            <w:gridSpan w:val="2"/>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(5.8)</w:t>
            </w:r>
          </w:p>
        </w:tc>
        <w:tc>
          <w:tcPr>
            <w:tcW w:w="4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six months ended June 30, 2023 and 2022, there were no gains or losses recognized in earnings related to our fair value or cash flow hedges that were excluded from the assessment of hedge effectiveness.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2023, on a pre-tax basis, $1.3 million is scheduled to be reclassified from Accumulated other comprehensive income (loss) over the next twelve months as a decrease to Cost of revenue related to designated commodity cash flow hedges that will mature within the next twelve months.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13" w:name="page14"/>
    <w:bookmarkEnd w:id="13"/>
    <w:p>
      <w:pPr>
        <w:spacing w:after="0" w:line="281" w:lineRule="auto"/>
        <w:rPr>
          <w:sz w:val="20"/>
          <w:szCs w:val="20"/>
          <w:color w:val="auto"/>
        </w:rPr>
      </w:pPr>
      <w:r>
        <w:rPr>
          <w:rFonts w:ascii="Arial" w:cs="Arial" w:eastAsia="Arial" w:hAnsi="Arial"/>
          <w:sz w:val="14"/>
          <w:szCs w:val="14"/>
          <w:color w:val="auto"/>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For the Three Months Ended June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vMerge w:val="restart"/>
          </w:tcPr>
          <w:p>
            <w:pPr>
              <w:jc w:val="right"/>
              <w:ind w:right="29"/>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91"/>
        </w:trPr>
        <w:tc>
          <w:tcPr>
            <w:tcW w:w="6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of Gain (Loss) Recognized in Accumulated other comprehensive income (loss),</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760"/>
              <w:spacing w:after="0"/>
              <w:rPr>
                <w:sz w:val="20"/>
                <w:szCs w:val="20"/>
                <w:color w:val="auto"/>
              </w:rPr>
            </w:pPr>
            <w:r>
              <w:rPr>
                <w:rFonts w:ascii="Arial" w:cs="Arial" w:eastAsia="Arial" w:hAnsi="Arial"/>
                <w:sz w:val="14"/>
                <w:szCs w:val="14"/>
                <w:b w:val="1"/>
                <w:bCs w:val="1"/>
                <w:color w:val="auto"/>
              </w:rPr>
              <w:t>Net of Income Tax (Expense) Benefit</w:t>
            </w:r>
          </w:p>
        </w:tc>
        <w:tc>
          <w:tcPr>
            <w:tcW w:w="100" w:type="dxa"/>
            <w:vAlign w:val="bottom"/>
          </w:tcPr>
          <w:p>
            <w:pPr>
              <w:spacing w:after="0"/>
              <w:rPr>
                <w:sz w:val="16"/>
                <w:szCs w:val="16"/>
                <w:color w:val="auto"/>
              </w:rPr>
            </w:pPr>
          </w:p>
        </w:tc>
        <w:tc>
          <w:tcPr>
            <w:tcW w:w="1100" w:type="dxa"/>
            <w:vAlign w:val="bottom"/>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contracts (Revenue)</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center"/>
              <w:ind w:left="689"/>
              <w:spacing w:after="0"/>
              <w:rPr>
                <w:sz w:val="20"/>
                <w:szCs w:val="20"/>
                <w:color w:val="auto"/>
              </w:rPr>
            </w:pPr>
            <w:r>
              <w:rPr>
                <w:rFonts w:ascii="Arial" w:cs="Arial" w:eastAsia="Arial" w:hAnsi="Arial"/>
                <w:sz w:val="14"/>
                <w:szCs w:val="14"/>
                <w:color w:val="auto"/>
              </w:rPr>
              <w:t>(0.1)</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color w:val="auto"/>
              </w:rPr>
              <w:t>0.7</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80"/>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Commodity contracts (Cost of revenue)</w:t>
            </w:r>
          </w:p>
        </w:tc>
        <w:tc>
          <w:tcPr>
            <w:tcW w:w="100" w:type="dxa"/>
            <w:vAlign w:val="bottom"/>
          </w:tcPr>
          <w:p>
            <w:pPr>
              <w:spacing w:after="0"/>
              <w:rPr>
                <w:sz w:val="15"/>
                <w:szCs w:val="15"/>
                <w:color w:val="auto"/>
              </w:rPr>
            </w:pPr>
          </w:p>
        </w:tc>
        <w:tc>
          <w:tcPr>
            <w:tcW w:w="1100" w:type="dxa"/>
            <w:vAlign w:val="bottom"/>
          </w:tcPr>
          <w:p>
            <w:pPr>
              <w:jc w:val="center"/>
              <w:ind w:left="709"/>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709"/>
              <w:spacing w:after="0"/>
              <w:rPr>
                <w:sz w:val="20"/>
                <w:szCs w:val="20"/>
                <w:color w:val="auto"/>
              </w:rPr>
            </w:pPr>
            <w:r>
              <w:rPr>
                <w:rFonts w:ascii="Arial" w:cs="Arial" w:eastAsia="Arial" w:hAnsi="Arial"/>
                <w:sz w:val="14"/>
                <w:szCs w:val="14"/>
                <w:color w:val="auto"/>
                <w:w w:val="97"/>
              </w:rPr>
              <w:t>(0.3)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1"/>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rate contracts (Interest expense and other financing costs, net)</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color w:val="auto"/>
              </w:rPr>
              <w:t>3.8</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color w:val="auto"/>
              </w:rPr>
              <w:t>3.2</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2"/>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Total gain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center"/>
              <w:ind w:left="709"/>
              <w:spacing w:after="0"/>
              <w:rPr>
                <w:sz w:val="20"/>
                <w:szCs w:val="20"/>
                <w:color w:val="auto"/>
              </w:rPr>
            </w:pPr>
            <w:r>
              <w:rPr>
                <w:rFonts w:ascii="Arial" w:cs="Arial" w:eastAsia="Arial" w:hAnsi="Arial"/>
                <w:sz w:val="14"/>
                <w:szCs w:val="14"/>
                <w:color w:val="auto"/>
              </w:rPr>
              <w:t>3.9</w:t>
            </w:r>
          </w:p>
        </w:tc>
        <w:tc>
          <w:tcPr>
            <w:tcW w:w="4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709"/>
              <w:spacing w:after="0"/>
              <w:rPr>
                <w:sz w:val="20"/>
                <w:szCs w:val="20"/>
                <w:color w:val="auto"/>
              </w:rPr>
            </w:pPr>
            <w:r>
              <w:rPr>
                <w:rFonts w:ascii="Arial" w:cs="Arial" w:eastAsia="Arial" w:hAnsi="Arial"/>
                <w:sz w:val="14"/>
                <w:szCs w:val="14"/>
                <w:color w:val="auto"/>
              </w:rPr>
              <w:t>3.6</w:t>
            </w:r>
          </w:p>
        </w:tc>
        <w:tc>
          <w:tcPr>
            <w:tcW w:w="4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734" w:right="319" w:bottom="1440" w:gutter="0" w:footer="0" w:header="0"/>
        </w:sectPr>
      </w:pPr>
    </w:p>
    <w:p>
      <w:pPr>
        <w:spacing w:after="0" w:line="254"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Amount of Gain (Loss) Reclassified from Accumulated</w:t>
      </w:r>
    </w:p>
    <w:p>
      <w:pPr>
        <w:jc w:val="center"/>
        <w:ind w:right="1360"/>
        <w:spacing w:after="0" w:line="205" w:lineRule="auto"/>
        <w:rPr>
          <w:sz w:val="20"/>
          <w:szCs w:val="20"/>
          <w:color w:val="auto"/>
        </w:rPr>
      </w:pPr>
      <w:r>
        <w:rPr>
          <w:rFonts w:ascii="Arial" w:cs="Arial" w:eastAsia="Arial" w:hAnsi="Arial"/>
          <w:sz w:val="14"/>
          <w:szCs w:val="14"/>
          <w:b w:val="1"/>
          <w:bCs w:val="1"/>
          <w:color w:val="auto"/>
        </w:rPr>
        <w:t>other comprehensive income (loss) into Net income (loss),</w:t>
      </w:r>
    </w:p>
    <w:p>
      <w:pPr>
        <w:jc w:val="right"/>
        <w:ind w:right="640"/>
        <w:spacing w:after="0"/>
        <w:tabs>
          <w:tab w:leader="none" w:pos="1200" w:val="left"/>
        </w:tabs>
        <w:rPr>
          <w:sz w:val="20"/>
          <w:szCs w:val="20"/>
          <w:color w:val="auto"/>
        </w:rPr>
      </w:pPr>
      <w:r>
        <w:rPr>
          <w:rFonts w:ascii="Arial" w:cs="Arial" w:eastAsia="Arial" w:hAnsi="Arial"/>
          <w:sz w:val="14"/>
          <w:szCs w:val="14"/>
          <w:b w:val="1"/>
          <w:bCs w:val="1"/>
          <w:color w:val="auto"/>
        </w:rPr>
        <w:t>Net of Income Tax (Expense) Benefit</w:t>
      </w:r>
      <w:r>
        <w:rPr>
          <w:sz w:val="20"/>
          <w:szCs w:val="20"/>
          <w:color w:val="auto"/>
        </w:rPr>
        <w:tab/>
      </w:r>
      <w:r>
        <w:rPr>
          <w:rFonts w:ascii="Arial" w:cs="Arial" w:eastAsia="Arial" w:hAnsi="Arial"/>
          <w:sz w:val="13"/>
          <w:szCs w:val="13"/>
          <w:b w:val="1"/>
          <w:bCs w:val="1"/>
          <w:color w:val="auto"/>
        </w:rPr>
        <w:t>Location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Three Months Ended June</w:t>
            </w:r>
          </w:p>
        </w:tc>
        <w:tc>
          <w:tcPr>
            <w:tcW w:w="140" w:type="dxa"/>
            <w:vAlign w:val="bottom"/>
          </w:tcPr>
          <w:p>
            <w:pPr>
              <w:spacing w:after="0"/>
              <w:rPr>
                <w:sz w:val="14"/>
                <w:szCs w:val="14"/>
                <w:color w:val="auto"/>
              </w:rPr>
            </w:pPr>
          </w:p>
        </w:tc>
        <w:tc>
          <w:tcPr>
            <w:tcW w:w="252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8"/>
        </w:trPr>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89"/>
              <w:spacing w:after="0"/>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6"/>
                <w:szCs w:val="16"/>
                <w:color w:val="auto"/>
              </w:rPr>
            </w:pPr>
          </w:p>
        </w:tc>
        <w:tc>
          <w:tcPr>
            <w:tcW w:w="2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2023</w:t>
            </w:r>
          </w:p>
        </w:tc>
        <w:tc>
          <w:tcPr>
            <w:tcW w:w="156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80" w:space="720"/>
            <w:col w:w="5180"/>
          </w:cols>
          <w:pgMar w:left="300" w:top="734"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4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center"/>
              <w:ind w:left="329"/>
              <w:spacing w:after="0"/>
              <w:rPr>
                <w:sz w:val="20"/>
                <w:szCs w:val="20"/>
                <w:color w:val="auto"/>
              </w:rPr>
            </w:pPr>
            <w:r>
              <w:rPr>
                <w:rFonts w:ascii="Arial" w:cs="Arial" w:eastAsia="Arial" w:hAnsi="Arial"/>
                <w:sz w:val="14"/>
                <w:szCs w:val="14"/>
                <w:color w:val="auto"/>
                <w:w w:val="92"/>
              </w:rPr>
              <w:t>1.2</w:t>
            </w:r>
          </w:p>
        </w:tc>
        <w:tc>
          <w:tcPr>
            <w:tcW w:w="1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center"/>
              <w:ind w:left="329"/>
              <w:spacing w:after="0"/>
              <w:rPr>
                <w:sz w:val="20"/>
                <w:szCs w:val="20"/>
                <w:color w:val="auto"/>
              </w:rPr>
            </w:pPr>
            <w:r>
              <w:rPr>
                <w:rFonts w:ascii="Arial" w:cs="Arial" w:eastAsia="Arial" w:hAnsi="Arial"/>
                <w:sz w:val="14"/>
                <w:szCs w:val="14"/>
                <w:color w:val="auto"/>
                <w:w w:val="92"/>
              </w:rPr>
              <w:t>0.8</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85"/>
        </w:trPr>
        <w:tc>
          <w:tcPr>
            <w:tcW w:w="40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40" w:type="dxa"/>
            <w:vAlign w:val="bottom"/>
          </w:tcPr>
          <w:p>
            <w:pPr>
              <w:spacing w:after="0"/>
              <w:rPr>
                <w:sz w:val="16"/>
                <w:szCs w:val="16"/>
                <w:color w:val="auto"/>
              </w:rPr>
            </w:pPr>
          </w:p>
        </w:tc>
        <w:tc>
          <w:tcPr>
            <w:tcW w:w="18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center"/>
              <w:ind w:left="309"/>
              <w:spacing w:after="0"/>
              <w:rPr>
                <w:sz w:val="20"/>
                <w:szCs w:val="20"/>
                <w:color w:val="auto"/>
              </w:rPr>
            </w:pPr>
            <w:r>
              <w:rPr>
                <w:rFonts w:ascii="Arial" w:cs="Arial" w:eastAsia="Arial" w:hAnsi="Arial"/>
                <w:sz w:val="14"/>
                <w:szCs w:val="14"/>
                <w:color w:val="auto"/>
                <w:w w:val="97"/>
              </w:rPr>
              <w:t>(0.9)</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center"/>
              <w:ind w:left="309"/>
              <w:spacing w:after="0"/>
              <w:rPr>
                <w:sz w:val="20"/>
                <w:szCs w:val="20"/>
                <w:color w:val="auto"/>
              </w:rPr>
            </w:pPr>
            <w:r>
              <w:rPr>
                <w:rFonts w:ascii="Arial" w:cs="Arial" w:eastAsia="Arial" w:hAnsi="Arial"/>
                <w:sz w:val="14"/>
                <w:szCs w:val="14"/>
                <w:color w:val="auto"/>
                <w:w w:val="97"/>
              </w:rPr>
              <w:t>(1.0)</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contracts</w:t>
            </w:r>
          </w:p>
        </w:tc>
        <w:tc>
          <w:tcPr>
            <w:tcW w:w="140" w:type="dxa"/>
            <w:vAlign w:val="bottom"/>
            <w:shd w:val="clear" w:color="auto" w:fill="CCEEFF"/>
          </w:tcPr>
          <w:p>
            <w:pPr>
              <w:spacing w:after="0"/>
              <w:rPr>
                <w:sz w:val="12"/>
                <w:szCs w:val="12"/>
                <w:color w:val="auto"/>
              </w:rPr>
            </w:pPr>
          </w:p>
        </w:tc>
        <w:tc>
          <w:tcPr>
            <w:tcW w:w="1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Interest expense and other</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ind w:left="329"/>
              <w:spacing w:after="0"/>
              <w:rPr>
                <w:sz w:val="20"/>
                <w:szCs w:val="20"/>
                <w:color w:val="auto"/>
              </w:rPr>
            </w:pPr>
            <w:r>
              <w:rPr>
                <w:rFonts w:ascii="Arial" w:cs="Arial" w:eastAsia="Arial" w:hAnsi="Arial"/>
                <w:sz w:val="14"/>
                <w:szCs w:val="14"/>
                <w:color w:val="auto"/>
                <w:w w:val="92"/>
              </w:rPr>
              <w:t>2.6</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ind w:left="329"/>
              <w:spacing w:after="0"/>
              <w:rPr>
                <w:sz w:val="20"/>
                <w:szCs w:val="20"/>
                <w:color w:val="auto"/>
              </w:rPr>
            </w:pPr>
            <w:r>
              <w:rPr>
                <w:rFonts w:ascii="Arial" w:cs="Arial" w:eastAsia="Arial" w:hAnsi="Arial"/>
                <w:sz w:val="14"/>
                <w:szCs w:val="14"/>
                <w:color w:val="auto"/>
                <w:w w:val="92"/>
              </w:rPr>
              <w:t>4.9</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0"/>
        </w:trPr>
        <w:tc>
          <w:tcPr>
            <w:tcW w:w="40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costs, net</w:t>
            </w:r>
          </w:p>
        </w:tc>
        <w:tc>
          <w:tcPr>
            <w:tcW w:w="1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4"/>
                <w:szCs w:val="14"/>
                <w:color w:val="auto"/>
              </w:rPr>
              <w:t>Total gain (loss)</w:t>
            </w: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color w:val="auto"/>
                <w:w w:val="92"/>
              </w:rPr>
              <w:t>2.8</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color w:val="auto"/>
                <w:w w:val="92"/>
              </w:rPr>
              <w:t>4.6</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Derivatives Not Designated as Hedging Instruments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For the Three Months Ended June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140" w:type="dxa"/>
            <w:vAlign w:val="bottom"/>
          </w:tcPr>
          <w:p>
            <w:pPr>
              <w:spacing w:after="0"/>
              <w:rPr>
                <w:sz w:val="15"/>
                <w:szCs w:val="15"/>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4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line="160" w:lineRule="exact"/>
              <w:rPr>
                <w:sz w:val="20"/>
                <w:szCs w:val="20"/>
                <w:color w:val="auto"/>
              </w:rPr>
            </w:pPr>
            <w:r>
              <w:rPr>
                <w:rFonts w:ascii="Arial" w:cs="Arial" w:eastAsia="Arial" w:hAnsi="Arial"/>
                <w:sz w:val="14"/>
                <w:szCs w:val="14"/>
                <w:color w:val="auto"/>
              </w:rPr>
              <w:t>Foreign currency contracts</w:t>
            </w:r>
          </w:p>
        </w:tc>
        <w:tc>
          <w:tcPr>
            <w:tcW w:w="140" w:type="dxa"/>
            <w:vAlign w:val="bottom"/>
          </w:tcPr>
          <w:p>
            <w:pPr>
              <w:spacing w:after="0"/>
              <w:rPr>
                <w:sz w:val="14"/>
                <w:szCs w:val="14"/>
                <w:color w:val="auto"/>
              </w:rPr>
            </w:pPr>
          </w:p>
        </w:tc>
        <w:tc>
          <w:tcPr>
            <w:tcW w:w="246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3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3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1"/>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14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Credit-Risk-Related Contingent Features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auto"/>
        </w:rPr>
        <w:t>The following table presents the potential collateral requirements for derivative liabilities with credit-risk-contingent features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1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June 30, 2023</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derivative liability positions with credit contingent features</w:t>
            </w:r>
          </w:p>
        </w:tc>
        <w:tc>
          <w:tcPr>
            <w:tcW w:w="1680" w:type="dxa"/>
            <w:vAlign w:val="bottom"/>
            <w:shd w:val="clear" w:color="auto" w:fill="CCEEFF"/>
          </w:tcPr>
          <w:p>
            <w:pPr>
              <w:jc w:val="right"/>
              <w:ind w:right="15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4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center"/>
              <w:ind w:left="1449"/>
              <w:spacing w:after="0"/>
              <w:rPr>
                <w:sz w:val="20"/>
                <w:szCs w:val="20"/>
                <w:color w:val="auto"/>
              </w:rPr>
            </w:pPr>
            <w:r>
              <w:rPr>
                <w:rFonts w:ascii="Arial" w:cs="Arial" w:eastAsia="Arial" w:hAnsi="Arial"/>
                <w:sz w:val="14"/>
                <w:szCs w:val="14"/>
                <w:color w:val="auto"/>
              </w:rPr>
              <w:t>72.5</w:t>
            </w:r>
          </w:p>
        </w:tc>
      </w:tr>
      <w:tr>
        <w:trPr>
          <w:trHeight w:val="18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Collateral posted and held by our counterparties</w:t>
            </w:r>
          </w:p>
        </w:tc>
        <w:tc>
          <w:tcPr>
            <w:tcW w:w="1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left="1449"/>
              <w:spacing w:after="0"/>
              <w:rPr>
                <w:sz w:val="20"/>
                <w:szCs w:val="20"/>
                <w:color w:val="auto"/>
              </w:rPr>
            </w:pPr>
            <w:r>
              <w:rPr>
                <w:rFonts w:ascii="Arial" w:cs="Arial" w:eastAsia="Arial" w:hAnsi="Arial"/>
                <w:sz w:val="14"/>
                <w:szCs w:val="14"/>
                <w:color w:val="auto"/>
                <w:w w:val="98"/>
              </w:rPr>
              <w:t>(28.7)</w:t>
            </w:r>
          </w:p>
        </w:tc>
      </w:tr>
      <w:tr>
        <w:trPr>
          <w:trHeight w:val="19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Maximum additional potential collateral requirements</w:t>
            </w:r>
          </w:p>
        </w:tc>
        <w:tc>
          <w:tcPr>
            <w:tcW w:w="1680" w:type="dxa"/>
            <w:vAlign w:val="bottom"/>
            <w:tcBorders>
              <w:bottom w:val="single" w:sz="8" w:color="auto"/>
            </w:tcBorders>
            <w:shd w:val="clear" w:color="auto" w:fill="CCEEFF"/>
          </w:tcPr>
          <w:p>
            <w:pPr>
              <w:jc w:val="right"/>
              <w:ind w:right="15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center"/>
              <w:ind w:left="1449"/>
              <w:spacing w:after="0"/>
              <w:rPr>
                <w:sz w:val="20"/>
                <w:szCs w:val="20"/>
                <w:color w:val="auto"/>
              </w:rPr>
            </w:pPr>
            <w:r>
              <w:rPr>
                <w:rFonts w:ascii="Arial" w:cs="Arial" w:eastAsia="Arial" w:hAnsi="Arial"/>
                <w:sz w:val="14"/>
                <w:szCs w:val="14"/>
                <w:color w:val="auto"/>
              </w:rPr>
              <w:t>43.8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Measurements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carrying amounts of cash and cash equivalents, net accounts receivable, accounts payable and accrued expenses and other current liabilities approximate fair value based on their short-term maturities. With the exception of the Convertible Notes issued in June 2023, as discussed in Note 6.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Recurring Fair Value Measurements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information about our gross assets and liabilities that are measured at fair value on a recurring basis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rPr>
              <w:t>Fair Value Measurements as of June 30, 2023</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2"/>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09"/>
              <w:spacing w:after="0"/>
              <w:rPr>
                <w:sz w:val="20"/>
                <w:szCs w:val="20"/>
                <w:color w:val="auto"/>
              </w:rPr>
            </w:pPr>
            <w:r>
              <w:rPr>
                <w:rFonts w:ascii="Arial" w:cs="Arial" w:eastAsia="Arial" w:hAnsi="Arial"/>
                <w:sz w:val="14"/>
                <w:szCs w:val="14"/>
                <w:b w:val="1"/>
                <w:bCs w:val="1"/>
                <w:color w:val="auto"/>
              </w:rPr>
              <w:t>Level 1 Inputs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29"/>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5"/>
                <w:szCs w:val="15"/>
                <w:color w:val="auto"/>
              </w:rPr>
            </w:pPr>
          </w:p>
        </w:tc>
        <w:tc>
          <w:tcPr>
            <w:tcW w:w="1180" w:type="dxa"/>
            <w:vAlign w:val="bottom"/>
          </w:tcPr>
          <w:p>
            <w:pPr>
              <w:jc w:val="right"/>
              <w:ind w:right="529"/>
              <w:spacing w:after="0"/>
              <w:rPr>
                <w:sz w:val="20"/>
                <w:szCs w:val="20"/>
                <w:color w:val="auto"/>
              </w:rPr>
            </w:pPr>
            <w:r>
              <w:rPr>
                <w:rFonts w:ascii="Arial" w:cs="Arial" w:eastAsia="Arial" w:hAnsi="Arial"/>
                <w:sz w:val="14"/>
                <w:szCs w:val="14"/>
                <w:b w:val="1"/>
                <w:bCs w:val="1"/>
                <w:color w:val="auto"/>
              </w:rPr>
              <w:t>Total</w:t>
            </w:r>
          </w:p>
        </w:tc>
      </w:tr>
      <w:tr>
        <w:trPr>
          <w:trHeight w:val="16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434.7</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519.6</w:t>
            </w:r>
          </w:p>
        </w:tc>
        <w:tc>
          <w:tcPr>
            <w:tcW w:w="3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964.0</w:t>
            </w:r>
          </w:p>
        </w:tc>
      </w:tr>
      <w:tr>
        <w:trPr>
          <w:trHeight w:val="186"/>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1"/>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surrender value of life insurance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71"/>
        </w:trPr>
        <w:tc>
          <w:tcPr>
            <w:tcW w:w="4760" w:type="dxa"/>
            <w:vAlign w:val="bottom"/>
          </w:tcPr>
          <w:p>
            <w:pPr>
              <w:ind w:left="20"/>
              <w:spacing w:after="0"/>
              <w:rPr>
                <w:sz w:val="20"/>
                <w:szCs w:val="20"/>
                <w:color w:val="auto"/>
              </w:rPr>
            </w:pPr>
            <w:r>
              <w:rPr>
                <w:rFonts w:ascii="Arial" w:cs="Arial" w:eastAsia="Arial" w:hAnsi="Arial"/>
                <w:sz w:val="14"/>
                <w:szCs w:val="14"/>
                <w:color w:val="auto"/>
              </w:rPr>
              <w:t>Total assets at fair value</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434.7</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568.8</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1,013.2</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4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Commodities contracts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w:t>
            </w:r>
          </w:p>
        </w:tc>
      </w:tr>
      <w:tr>
        <w:trPr>
          <w:trHeight w:val="191"/>
        </w:trPr>
        <w:tc>
          <w:tcPr>
            <w:tcW w:w="47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23"/>
        </w:trPr>
        <w:tc>
          <w:tcPr>
            <w:tcW w:w="4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1"/>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09"/>
              <w:spacing w:after="0"/>
              <w:rPr>
                <w:sz w:val="20"/>
                <w:szCs w:val="20"/>
                <w:color w:val="auto"/>
              </w:rPr>
            </w:pPr>
            <w:r>
              <w:rPr>
                <w:rFonts w:ascii="Arial" w:cs="Arial" w:eastAsia="Arial" w:hAnsi="Arial"/>
                <w:sz w:val="14"/>
                <w:szCs w:val="14"/>
                <w:b w:val="1"/>
                <w:bCs w:val="1"/>
                <w:color w:val="auto"/>
              </w:rPr>
              <w:t>Level 1 Inputs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29"/>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4"/>
                <w:szCs w:val="14"/>
                <w:color w:val="auto"/>
              </w:rPr>
            </w:pPr>
          </w:p>
        </w:tc>
        <w:tc>
          <w:tcPr>
            <w:tcW w:w="1180" w:type="dxa"/>
            <w:vAlign w:val="bottom"/>
          </w:tcPr>
          <w:p>
            <w:pPr>
              <w:jc w:val="right"/>
              <w:ind w:right="529"/>
              <w:spacing w:after="0"/>
              <w:rPr>
                <w:sz w:val="20"/>
                <w:szCs w:val="20"/>
                <w:color w:val="auto"/>
              </w:rPr>
            </w:pPr>
            <w:r>
              <w:rPr>
                <w:rFonts w:ascii="Arial" w:cs="Arial" w:eastAsia="Arial" w:hAnsi="Arial"/>
                <w:sz w:val="14"/>
                <w:szCs w:val="14"/>
                <w:b w:val="1"/>
                <w:bCs w:val="1"/>
                <w:color w:val="auto"/>
              </w:rPr>
              <w:t>Total</w:t>
            </w:r>
          </w:p>
        </w:tc>
      </w:tr>
      <w:tr>
        <w:trPr>
          <w:trHeight w:val="171"/>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496.2</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797.6</w:t>
            </w:r>
          </w:p>
        </w:tc>
        <w:tc>
          <w:tcPr>
            <w:tcW w:w="3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1,298.0</w:t>
            </w:r>
          </w:p>
        </w:tc>
      </w:tr>
      <w:tr>
        <w:trPr>
          <w:trHeight w:val="186"/>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191"/>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surrender value of life insurance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71"/>
        </w:trPr>
        <w:tc>
          <w:tcPr>
            <w:tcW w:w="4760" w:type="dxa"/>
            <w:vAlign w:val="bottom"/>
          </w:tcPr>
          <w:p>
            <w:pPr>
              <w:ind w:left="20"/>
              <w:spacing w:after="0"/>
              <w:rPr>
                <w:sz w:val="20"/>
                <w:szCs w:val="20"/>
                <w:color w:val="auto"/>
              </w:rPr>
            </w:pPr>
            <w:r>
              <w:rPr>
                <w:rFonts w:ascii="Arial" w:cs="Arial" w:eastAsia="Arial" w:hAnsi="Arial"/>
                <w:sz w:val="14"/>
                <w:szCs w:val="14"/>
                <w:color w:val="auto"/>
              </w:rPr>
              <w:t>Total assets at fair value</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496.2</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861.4</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1,361.8</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4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Commodities contracts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497.4</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1,452.1</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r>
      <w:tr>
        <w:trPr>
          <w:trHeight w:val="20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at fair value</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497.4</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30"/>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489"/>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47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4"/>
          <w:szCs w:val="14"/>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Condensed Consolidated Balance Sheets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as of June 30, 2023</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69"/>
              <w:spacing w:after="0" w:line="131" w:lineRule="exact"/>
              <w:rPr>
                <w:sz w:val="20"/>
                <w:szCs w:val="20"/>
                <w:color w:val="auto"/>
              </w:rPr>
            </w:pPr>
            <w:r>
              <w:rPr>
                <w:rFonts w:ascii="Arial" w:cs="Arial" w:eastAsia="Arial" w:hAnsi="Arial"/>
                <w:sz w:val="14"/>
                <w:szCs w:val="14"/>
                <w:b w:val="1"/>
                <w:bCs w:val="1"/>
                <w:color w:val="auto"/>
              </w:rPr>
              <w:t>Gross Amounts</w:t>
            </w:r>
          </w:p>
        </w:tc>
        <w:tc>
          <w:tcPr>
            <w:tcW w:w="140" w:type="dxa"/>
            <w:vAlign w:val="bottom"/>
          </w:tcPr>
          <w:p>
            <w:pPr>
              <w:spacing w:after="0"/>
              <w:rPr>
                <w:sz w:val="11"/>
                <w:szCs w:val="11"/>
                <w:color w:val="auto"/>
              </w:rPr>
            </w:pPr>
          </w:p>
        </w:tc>
        <w:tc>
          <w:tcPr>
            <w:tcW w:w="1200" w:type="dxa"/>
            <w:vAlign w:val="bottom"/>
            <w:gridSpan w:val="2"/>
          </w:tcPr>
          <w:p>
            <w:pPr>
              <w:jc w:val="right"/>
              <w:ind w:right="9"/>
              <w:spacing w:after="0" w:line="131" w:lineRule="exact"/>
              <w:rPr>
                <w:sz w:val="20"/>
                <w:szCs w:val="20"/>
                <w:color w:val="auto"/>
              </w:rPr>
            </w:pPr>
            <w:r>
              <w:rPr>
                <w:rFonts w:ascii="Arial" w:cs="Arial" w:eastAsia="Arial" w:hAnsi="Arial"/>
                <w:sz w:val="14"/>
                <w:szCs w:val="14"/>
                <w:b w:val="1"/>
                <w:bCs w:val="1"/>
                <w:color w:val="auto"/>
              </w:rPr>
              <w:t>Gross Amounts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89"/>
              <w:spacing w:after="0" w:line="131" w:lineRule="exact"/>
              <w:rPr>
                <w:sz w:val="20"/>
                <w:szCs w:val="20"/>
                <w:color w:val="auto"/>
              </w:rPr>
            </w:pPr>
            <w:r>
              <w:rPr>
                <w:rFonts w:ascii="Arial" w:cs="Arial" w:eastAsia="Arial" w:hAnsi="Arial"/>
                <w:sz w:val="14"/>
                <w:szCs w:val="14"/>
                <w:b w:val="1"/>
                <w:bCs w:val="1"/>
                <w:color w:val="auto"/>
              </w:rPr>
              <w:t>Net Amounts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1"/>
                <w:szCs w:val="11"/>
                <w:color w:val="auto"/>
              </w:rPr>
            </w:pPr>
          </w:p>
        </w:tc>
        <w:tc>
          <w:tcPr>
            <w:tcW w:w="178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Gross Amounts without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8"/>
        </w:trPr>
        <w:tc>
          <w:tcPr>
            <w:tcW w:w="2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Recognized</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Offset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Presented</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Right of Offset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964.0</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581.2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382.8</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80.1</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540" w:type="dxa"/>
            <w:vAlign w:val="bottom"/>
          </w:tcPr>
          <w:p>
            <w:pPr>
              <w:ind w:left="13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5"/>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contracts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1"/>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998.9</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8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969.6</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581.2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388.4</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121.6</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540" w:type="dxa"/>
            <w:vAlign w:val="bottom"/>
          </w:tcPr>
          <w:p>
            <w:pPr>
              <w:ind w:left="13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2680" w:type="dxa"/>
            <w:vAlign w:val="bottom"/>
          </w:tcPr>
          <w:p>
            <w:pPr>
              <w:ind w:left="20"/>
              <w:spacing w:after="0"/>
              <w:rPr>
                <w:sz w:val="20"/>
                <w:szCs w:val="20"/>
                <w:color w:val="auto"/>
              </w:rPr>
            </w:pPr>
            <w:r>
              <w:rPr>
                <w:rFonts w:ascii="Arial" w:cs="Arial" w:eastAsia="Arial" w:hAnsi="Arial"/>
                <w:sz w:val="14"/>
                <w:szCs w:val="14"/>
                <w:color w:val="auto"/>
              </w:rPr>
              <w:t>Total liabilities at fair value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982.9</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393.4</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121.6</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540" w:type="dxa"/>
            <w:vAlign w:val="bottom"/>
          </w:tcPr>
          <w:p>
            <w:pPr>
              <w:ind w:left="13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 as of December 31, 2022</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right"/>
              <w:ind w:right="89"/>
              <w:spacing w:after="0" w:line="131" w:lineRule="exact"/>
              <w:rPr>
                <w:sz w:val="20"/>
                <w:szCs w:val="20"/>
                <w:color w:val="auto"/>
              </w:rPr>
            </w:pPr>
            <w:r>
              <w:rPr>
                <w:rFonts w:ascii="Arial" w:cs="Arial" w:eastAsia="Arial" w:hAnsi="Arial"/>
                <w:sz w:val="14"/>
                <w:szCs w:val="14"/>
                <w:b w:val="1"/>
                <w:bCs w:val="1"/>
                <w:color w:val="auto"/>
              </w:rPr>
              <w:t>Gross Amounts</w:t>
            </w:r>
          </w:p>
        </w:tc>
        <w:tc>
          <w:tcPr>
            <w:tcW w:w="120" w:type="dxa"/>
            <w:vAlign w:val="bottom"/>
          </w:tcPr>
          <w:p>
            <w:pPr>
              <w:spacing w:after="0"/>
              <w:rPr>
                <w:sz w:val="11"/>
                <w:szCs w:val="11"/>
                <w:color w:val="auto"/>
              </w:rPr>
            </w:pPr>
          </w:p>
        </w:tc>
        <w:tc>
          <w:tcPr>
            <w:tcW w:w="11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Gross Amounts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89"/>
              <w:spacing w:after="0" w:line="131" w:lineRule="exact"/>
              <w:rPr>
                <w:sz w:val="20"/>
                <w:szCs w:val="20"/>
                <w:color w:val="auto"/>
              </w:rPr>
            </w:pPr>
            <w:r>
              <w:rPr>
                <w:rFonts w:ascii="Arial" w:cs="Arial" w:eastAsia="Arial" w:hAnsi="Arial"/>
                <w:sz w:val="14"/>
                <w:szCs w:val="14"/>
                <w:b w:val="1"/>
                <w:bCs w:val="1"/>
                <w:color w:val="auto"/>
              </w:rPr>
              <w:t>Net Amounts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00" w:type="dxa"/>
            <w:vAlign w:val="bottom"/>
          </w:tcPr>
          <w:p>
            <w:pPr>
              <w:spacing w:after="0"/>
              <w:rPr>
                <w:sz w:val="11"/>
                <w:szCs w:val="11"/>
                <w:color w:val="auto"/>
              </w:rPr>
            </w:pPr>
          </w:p>
        </w:tc>
        <w:tc>
          <w:tcPr>
            <w:tcW w:w="1680" w:type="dxa"/>
            <w:vAlign w:val="bottom"/>
          </w:tcPr>
          <w:p>
            <w:pPr>
              <w:spacing w:after="0" w:line="131" w:lineRule="exact"/>
              <w:rPr>
                <w:sz w:val="20"/>
                <w:szCs w:val="20"/>
                <w:color w:val="auto"/>
              </w:rPr>
            </w:pPr>
            <w:r>
              <w:rPr>
                <w:rFonts w:ascii="Arial" w:cs="Arial" w:eastAsia="Arial" w:hAnsi="Arial"/>
                <w:sz w:val="14"/>
                <w:szCs w:val="14"/>
                <w:b w:val="1"/>
                <w:bCs w:val="1"/>
                <w:color w:val="auto"/>
              </w:rPr>
              <w:t>Gross Amounts without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229"/>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29"/>
              <w:spacing w:after="0"/>
              <w:rPr>
                <w:sz w:val="20"/>
                <w:szCs w:val="20"/>
                <w:color w:val="auto"/>
              </w:rPr>
            </w:pPr>
            <w:r>
              <w:rPr>
                <w:rFonts w:ascii="Arial" w:cs="Arial" w:eastAsia="Arial" w:hAnsi="Arial"/>
                <w:sz w:val="14"/>
                <w:szCs w:val="14"/>
                <w:b w:val="1"/>
                <w:bCs w:val="1"/>
                <w:color w:val="auto"/>
              </w:rPr>
              <w:t>Offset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89"/>
              <w:spacing w:after="0"/>
              <w:rPr>
                <w:sz w:val="20"/>
                <w:szCs w:val="20"/>
                <w:color w:val="auto"/>
              </w:rPr>
            </w:pPr>
            <w:r>
              <w:rPr>
                <w:rFonts w:ascii="Arial" w:cs="Arial" w:eastAsia="Arial" w:hAnsi="Arial"/>
                <w:sz w:val="14"/>
                <w:szCs w:val="14"/>
                <w:b w:val="1"/>
                <w:bCs w:val="1"/>
                <w:color w:val="auto"/>
              </w:rPr>
              <w:t>Presented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ind w:left="300"/>
              <w:spacing w:after="0"/>
              <w:rPr>
                <w:sz w:val="20"/>
                <w:szCs w:val="20"/>
                <w:color w:val="auto"/>
              </w:rPr>
            </w:pPr>
            <w:r>
              <w:rPr>
                <w:rFonts w:ascii="Arial" w:cs="Arial" w:eastAsia="Arial" w:hAnsi="Arial"/>
                <w:sz w:val="14"/>
                <w:szCs w:val="14"/>
                <w:b w:val="1"/>
                <w:bCs w:val="1"/>
                <w:color w:val="auto"/>
              </w:rPr>
              <w:t>Right of Offset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1,298.0</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756.8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541.1</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ind w:left="14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140" w:type="dxa"/>
            <w:vAlign w:val="bottom"/>
          </w:tcPr>
          <w:p>
            <w:pPr>
              <w:spacing w:after="0"/>
              <w:rPr>
                <w:sz w:val="15"/>
                <w:szCs w:val="15"/>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80" w:type="dxa"/>
            <w:vAlign w:val="bottom"/>
          </w:tcPr>
          <w:p>
            <w:pPr>
              <w:ind w:left="1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1,347.4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1,452.1</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755.6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696.4</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243.1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ind w:left="14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453.3</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2"/>
        </w:trPr>
        <w:tc>
          <w:tcPr>
            <w:tcW w:w="2640" w:type="dxa"/>
            <w:vAlign w:val="bottom"/>
          </w:tcPr>
          <w:p>
            <w:pPr>
              <w:ind w:left="20"/>
              <w:spacing w:after="0"/>
              <w:rPr>
                <w:sz w:val="20"/>
                <w:szCs w:val="20"/>
                <w:color w:val="auto"/>
              </w:rPr>
            </w:pPr>
            <w:r>
              <w:rPr>
                <w:rFonts w:ascii="Arial" w:cs="Arial" w:eastAsia="Arial" w:hAnsi="Arial"/>
                <w:sz w:val="14"/>
                <w:szCs w:val="14"/>
                <w:color w:val="auto"/>
              </w:rPr>
              <w:t>Total liabilities at fair value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1,490.8</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777.7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713.1</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243.1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ind w:left="14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At June 30, 2023 and December 31, 2022, we did not present any amounts gross on our Condensed Consolidated Balance Sheets where we had the right of offset.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individual over-the-counter ("OTC") counterparty exposure is managed within predetermined credit limits and includes the use of cash-call margins when appropriate, thereby reducing the risk of significant nonperformance. At June 30, 2023, one of our counterparties with a total exposure of $95.3 million represented over 10% of our credit exposure to OTC derivative counterparties, for which we held cash collateral of $21.2 million.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Nonrecurring Fair Value Measurements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values of nonrecurring assets or liabilities measured using Level 3 inputs were not material as of June 30, 2023 and December 31, 2022,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Debt, Interest Income, Expense, and Other Finance Costs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Convertible Debt</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June 26, 2023, we issued $350.0 million aggregate principal amount of 3.250% Convertible Senior Notes due 2028 (the "Convertible Notes"), which reflects the exercise in full of an option to purchase up to an additional $50.0 million in principal amount of the Convertible Notes.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Convertible Notes mature on July 1, 2028, unless earlier converted, redeemed or repurchased. We may not redeem the Convertible Notes prior to July 6, 2026. Thereafter and until the 61st scheduled trading day immediately preceding the maturity date, we may redeem for cash,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related Notice of Redemption. Prior to March 1, 2028, the Convertible Notes will be convertible at the option of the holders only under the following circumstances: (1) during any calendar quarter commencing after the calendar quarter ending on September 30, 2023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for each trading day of that period, the Trading Price (as defined in the Indenture), as determined following a request by a holder of Convertible Notes in accordance with the procedures described in the Indenture, per $1,000 principal amount of Convertible Notes for such trading day was less than 98% of the product of the last reported sale price of our common stock and the conversion rate on each such trading day; (3) if we call such Convertible Notes for redemption, at any time prior to the close of business on the scheduled trading day immediately preceding the redemption date, but only with respect to the Convertible Notes called (or deemed called) for redemption; or (4) upon the occurrence of specified corporate events described in the Indenture. Thereafter and until the second scheduled trading day immediately preceding the maturity date of the Convertible Notes, holders may convert regardless of the foregoing conditions.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will be subject to adjustment upon the occurrence of certain events but will not be adjusted for accrued and unpaid interest.</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the pricing of the Convertible Notes, we entered into convertible note hedge transactions and warrant transactions. The cost of the convertible note hedge transactions was approximately $70.5 million. The convertible note hedge transactions cover, subject to customary anti-dilution adjustments, the number of shares of common stock that initially underlie the Convertible Notes, and have an initial strike price equal to the initial conversion price of the Convertible Notes. Separately, we received $40.0 million of proceeds from the sale of warrants to acquire, subject to anti-dilution adjustments, the same amount of shares at an initial strike price of $40.14 per share. The net cost of $30.5 million was recorded as a reduction to additional paid-in capital in the Condensed Consolidated Statement of Shareholders’ Equity.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total interest expense recognized for the three and six months ended June 30, 2023 was nominal as a result of the June 26, 2023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Agreement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Fourth Amended and Restated Credit Agreement matures in April 2027 and provides for a term loan as well as a revolving credit facility of up to $1.5 billion (the "Credit Facility").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Our outstanding debt consists of the following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1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June 30, 2023</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w:t>
            </w:r>
          </w:p>
        </w:tc>
        <w:tc>
          <w:tcPr>
            <w:tcW w:w="1680" w:type="dxa"/>
            <w:vAlign w:val="bottom"/>
            <w:shd w:val="clear" w:color="auto" w:fill="CCEEFF"/>
          </w:tcPr>
          <w:p>
            <w:pPr>
              <w:jc w:val="right"/>
              <w:ind w:right="15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Term loan</w:t>
            </w:r>
          </w:p>
        </w:tc>
        <w:tc>
          <w:tcPr>
            <w:tcW w:w="16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488.4</w:t>
            </w:r>
          </w:p>
        </w:tc>
      </w:tr>
      <w:tr>
        <w:trPr>
          <w:trHeight w:val="181"/>
        </w:trPr>
        <w:tc>
          <w:tcPr>
            <w:tcW w:w="67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Notes </w:t>
            </w:r>
            <w:r>
              <w:rPr>
                <w:rFonts w:ascii="Arial" w:cs="Arial" w:eastAsia="Arial" w:hAnsi="Arial"/>
                <w:sz w:val="18"/>
                <w:szCs w:val="18"/>
                <w:color w:val="auto"/>
                <w:vertAlign w:val="superscript"/>
              </w:rPr>
              <w:t>(1)</w:t>
            </w:r>
          </w:p>
        </w:tc>
        <w:tc>
          <w:tcPr>
            <w:tcW w:w="16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676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1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186"/>
        </w:trPr>
        <w:tc>
          <w:tcPr>
            <w:tcW w:w="676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16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1"/>
        </w:trPr>
        <w:tc>
          <w:tcPr>
            <w:tcW w:w="67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16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877.8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845.7</w:t>
            </w:r>
          </w:p>
        </w:tc>
      </w:tr>
      <w:tr>
        <w:trPr>
          <w:trHeight w:val="191"/>
        </w:trPr>
        <w:tc>
          <w:tcPr>
            <w:tcW w:w="6760" w:type="dxa"/>
            <w:vAlign w:val="bottom"/>
            <w:shd w:val="clear" w:color="auto" w:fill="CCEEFF"/>
          </w:tcPr>
          <w:p>
            <w:pPr>
              <w:ind w:left="100"/>
              <w:spacing w:after="0" w:line="191" w:lineRule="exact"/>
              <w:rPr>
                <w:sz w:val="20"/>
                <w:szCs w:val="20"/>
                <w:color w:val="auto"/>
              </w:rPr>
            </w:pPr>
            <w:r>
              <w:rPr>
                <w:rFonts w:ascii="Arial" w:cs="Arial" w:eastAsia="Arial" w:hAnsi="Arial"/>
                <w:sz w:val="14"/>
                <w:szCs w:val="14"/>
                <w:color w:val="auto"/>
              </w:rPr>
              <w:t xml:space="preserve">Less: Current maturities of long-term debt and finance leases </w:t>
            </w:r>
            <w:r>
              <w:rPr>
                <w:rFonts w:ascii="Arial" w:cs="Arial" w:eastAsia="Arial" w:hAnsi="Arial"/>
                <w:sz w:val="18"/>
                <w:szCs w:val="18"/>
                <w:color w:val="auto"/>
                <w:vertAlign w:val="superscript"/>
              </w:rPr>
              <w:t>(2)</w:t>
            </w:r>
          </w:p>
        </w:tc>
        <w:tc>
          <w:tcPr>
            <w:tcW w:w="16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71"/>
        </w:trPr>
        <w:tc>
          <w:tcPr>
            <w:tcW w:w="6760" w:type="dxa"/>
            <w:vAlign w:val="bottom"/>
          </w:tcPr>
          <w:p>
            <w:pPr>
              <w:ind w:left="100"/>
              <w:spacing w:after="0"/>
              <w:rPr>
                <w:sz w:val="20"/>
                <w:szCs w:val="20"/>
                <w:color w:val="auto"/>
              </w:rPr>
            </w:pPr>
            <w:r>
              <w:rPr>
                <w:rFonts w:ascii="Arial" w:cs="Arial" w:eastAsia="Arial" w:hAnsi="Arial"/>
                <w:sz w:val="14"/>
                <w:szCs w:val="14"/>
                <w:color w:val="auto"/>
              </w:rPr>
              <w:t>Long-term debt</w:t>
            </w:r>
          </w:p>
        </w:tc>
        <w:tc>
          <w:tcPr>
            <w:tcW w:w="1680" w:type="dxa"/>
            <w:vAlign w:val="bottom"/>
            <w:tcBorders>
              <w:bottom w:val="single" w:sz="8" w:color="auto"/>
            </w:tcBorders>
          </w:tcPr>
          <w:p>
            <w:pPr>
              <w:jc w:val="right"/>
              <w:ind w:right="150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816.2</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829.9</w:t>
            </w:r>
          </w:p>
        </w:tc>
      </w:tr>
      <w:tr>
        <w:trPr>
          <w:trHeight w:val="20"/>
        </w:trPr>
        <w:tc>
          <w:tcPr>
            <w:tcW w:w="6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260" w:hanging="255"/>
        <w:spacing w:after="0" w:line="235"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conversion feature discussed above did not require separate accounting. As a result a liability was recognized for the aggregate principal net of issuance costs. As of June 30, 2023 the net carrying amount of the Convertible Notes includes the aggregate principal amount of $350.0 million, net of unamortized debt issuance costs of $12.5 million. As the transaction closed on June 26, 2023, the carrying value of the Convertible Notes as of June 30, 2023 is a close approximation of its fair value.</w:t>
      </w:r>
    </w:p>
    <w:p>
      <w:pPr>
        <w:spacing w:after="0" w:line="49" w:lineRule="exact"/>
        <w:rPr>
          <w:rFonts w:ascii="Arial" w:cs="Arial" w:eastAsia="Arial" w:hAnsi="Arial"/>
          <w:sz w:val="18"/>
          <w:szCs w:val="18"/>
          <w:color w:val="auto"/>
          <w:vertAlign w:val="superscript"/>
        </w:rPr>
      </w:pPr>
    </w:p>
    <w:p>
      <w:pPr>
        <w:ind w:left="260" w:hanging="255"/>
        <w:spacing w:after="0"/>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secured borrowings of $40.3 million (EUR 37.0 million) as of June 30, 2023 for the transfer of tax receivables.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additional information about our Interest income (expense), and other financing costs, net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5160" w:type="dxa"/>
            <w:vAlign w:val="bottom"/>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6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 and other financing costs</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and other financing costs, net</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5160" w:type="dxa"/>
            <w:vAlign w:val="bottom"/>
          </w:tcPr>
          <w:p>
            <w:pPr>
              <w:spacing w:after="0"/>
              <w:rPr>
                <w:sz w:val="24"/>
                <w:szCs w:val="24"/>
                <w:color w:val="auto"/>
              </w:rPr>
            </w:pPr>
          </w:p>
        </w:tc>
        <w:tc>
          <w:tcPr>
            <w:tcW w:w="960" w:type="dxa"/>
            <w:vAlign w:val="bottom"/>
          </w:tcPr>
          <w:p>
            <w:pPr>
              <w:jc w:val="right"/>
              <w:ind w:right="329"/>
              <w:spacing w:after="0"/>
              <w:rPr>
                <w:sz w:val="20"/>
                <w:szCs w:val="20"/>
                <w:color w:val="auto"/>
              </w:rPr>
            </w:pPr>
            <w:r>
              <w:rPr>
                <w:rFonts w:ascii="Arial" w:cs="Arial" w:eastAsia="Arial" w:hAnsi="Arial"/>
                <w:sz w:val="14"/>
                <w:szCs w:val="14"/>
                <w:color w:val="auto"/>
              </w:rPr>
              <w:t>16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5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7. Revenue from Contracts with Customers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Disaggregated revenue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revenues from contracts with customers disaggregated by major geographic areas in which we conduct business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5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171"/>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318.6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w:t>
            </w:r>
          </w:p>
        </w:tc>
      </w:tr>
      <w:tr>
        <w:trPr>
          <w:trHeight w:val="180"/>
        </w:trPr>
        <w:tc>
          <w:tcPr>
            <w:tcW w:w="5160" w:type="dxa"/>
            <w:vAlign w:val="bottom"/>
          </w:tcPr>
          <w:p>
            <w:pPr>
              <w:ind w:left="20"/>
              <w:spacing w:after="0"/>
              <w:rPr>
                <w:sz w:val="20"/>
                <w:szCs w:val="20"/>
                <w:color w:val="auto"/>
              </w:rPr>
            </w:pPr>
            <w:r>
              <w:rPr>
                <w:rFonts w:ascii="Arial" w:cs="Arial" w:eastAsia="Arial" w:hAnsi="Arial"/>
                <w:sz w:val="14"/>
                <w:szCs w:val="14"/>
                <w:color w:val="auto"/>
              </w:rPr>
              <w:t>Land</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55.1</w:t>
            </w:r>
          </w:p>
        </w:tc>
      </w:tr>
      <w:tr>
        <w:trPr>
          <w:trHeight w:val="191"/>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Marine</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1,005.7</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1,529.8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2,116.1</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2,675.2</w:t>
            </w:r>
          </w:p>
        </w:tc>
      </w:tr>
      <w:tr>
        <w:trPr>
          <w:trHeight w:val="171"/>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Asia Pacific</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1,266.7</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1,854.9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2,653.6</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3,274.2</w:t>
            </w:r>
          </w:p>
        </w:tc>
      </w:tr>
      <w:tr>
        <w:trPr>
          <w:trHeight w:val="108"/>
        </w:trPr>
        <w:tc>
          <w:tcPr>
            <w:tcW w:w="5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Aviation</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1,002.0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1,301.9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1,826.7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1,943.8</w:t>
            </w:r>
          </w:p>
        </w:tc>
      </w:tr>
      <w:tr>
        <w:trPr>
          <w:trHeight w:val="18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729.9</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958.3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1,787.0</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1,996.7</w:t>
            </w:r>
          </w:p>
        </w:tc>
      </w:tr>
      <w:tr>
        <w:trPr>
          <w:trHeight w:val="180"/>
        </w:trPr>
        <w:tc>
          <w:tcPr>
            <w:tcW w:w="5160" w:type="dxa"/>
            <w:vAlign w:val="bottom"/>
          </w:tcPr>
          <w:p>
            <w:pPr>
              <w:ind w:left="20"/>
              <w:spacing w:after="0"/>
              <w:rPr>
                <w:sz w:val="20"/>
                <w:szCs w:val="20"/>
                <w:color w:val="auto"/>
              </w:rPr>
            </w:pPr>
            <w:r>
              <w:rPr>
                <w:rFonts w:ascii="Arial" w:cs="Arial" w:eastAsia="Arial" w:hAnsi="Arial"/>
                <w:sz w:val="14"/>
                <w:szCs w:val="14"/>
                <w:color w:val="auto"/>
              </w:rPr>
              <w:t>Marine</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619.7</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1,131.4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1,962.4</w:t>
            </w:r>
          </w:p>
        </w:tc>
      </w:tr>
      <w:tr>
        <w:trPr>
          <w:trHeight w:val="181"/>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EMEA</w:t>
            </w: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2,351.6</w:t>
            </w:r>
          </w:p>
        </w:tc>
        <w:tc>
          <w:tcPr>
            <w:tcW w:w="1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3,391.6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4,758.8</w:t>
            </w:r>
          </w:p>
        </w:tc>
        <w:tc>
          <w:tcPr>
            <w:tcW w:w="1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5,902.9</w:t>
            </w:r>
          </w:p>
        </w:tc>
      </w:tr>
      <w:tr>
        <w:trPr>
          <w:trHeight w:val="108"/>
        </w:trPr>
        <w:tc>
          <w:tcPr>
            <w:tcW w:w="5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1"/>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2,282.2</w:t>
            </w:r>
          </w:p>
        </w:tc>
      </w:tr>
      <w:tr>
        <w:trPr>
          <w:trHeight w:val="180"/>
        </w:trPr>
        <w:tc>
          <w:tcPr>
            <w:tcW w:w="5160" w:type="dxa"/>
            <w:vAlign w:val="bottom"/>
          </w:tcPr>
          <w:p>
            <w:pPr>
              <w:ind w:left="20"/>
              <w:spacing w:after="0"/>
              <w:rPr>
                <w:sz w:val="20"/>
                <w:szCs w:val="20"/>
                <w:color w:val="auto"/>
              </w:rPr>
            </w:pPr>
            <w:r>
              <w:rPr>
                <w:rFonts w:ascii="Arial" w:cs="Arial" w:eastAsia="Arial" w:hAnsi="Arial"/>
                <w:sz w:val="14"/>
                <w:szCs w:val="14"/>
                <w:color w:val="auto"/>
              </w:rPr>
              <w:t>Land</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265.0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456.6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463.4</w:t>
            </w:r>
          </w:p>
        </w:tc>
      </w:tr>
      <w:tr>
        <w:trPr>
          <w:trHeight w:val="18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Marine</w:t>
            </w: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299.0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577.6</w:t>
            </w:r>
          </w:p>
        </w:tc>
      </w:tr>
      <w:tr>
        <w:trPr>
          <w:trHeight w:val="182"/>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LATAM</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1,278.8</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1,893.0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3,001.6</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3,323.2</w:t>
            </w:r>
          </w:p>
        </w:tc>
      </w:tr>
      <w:tr>
        <w:trPr>
          <w:trHeight w:val="108"/>
        </w:trPr>
        <w:tc>
          <w:tcPr>
            <w:tcW w:w="5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0"/>
        </w:trPr>
        <w:tc>
          <w:tcPr>
            <w:tcW w:w="5160" w:type="dxa"/>
            <w:vAlign w:val="bottom"/>
          </w:tcPr>
          <w:p>
            <w:pPr>
              <w:ind w:left="20"/>
              <w:spacing w:after="0"/>
              <w:rPr>
                <w:sz w:val="20"/>
                <w:szCs w:val="20"/>
                <w:color w:val="auto"/>
              </w:rPr>
            </w:pPr>
            <w:r>
              <w:rPr>
                <w:rFonts w:ascii="Arial" w:cs="Arial" w:eastAsia="Arial" w:hAnsi="Arial"/>
                <w:sz w:val="14"/>
                <w:szCs w:val="14"/>
                <w:color w:val="auto"/>
              </w:rPr>
              <w:t>Aviation</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3,047.0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5,060.0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6,944.9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8,351.8</w:t>
            </w:r>
          </w:p>
        </w:tc>
      </w:tr>
      <w:tr>
        <w:trPr>
          <w:trHeight w:val="191"/>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2,719.0</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5,427.0</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7,185.8</w:t>
            </w:r>
          </w:p>
        </w:tc>
      </w:tr>
      <w:tr>
        <w:trPr>
          <w:trHeight w:val="180"/>
        </w:trPr>
        <w:tc>
          <w:tcPr>
            <w:tcW w:w="5160" w:type="dxa"/>
            <w:vAlign w:val="bottom"/>
          </w:tcPr>
          <w:p>
            <w:pPr>
              <w:ind w:left="20"/>
              <w:spacing w:after="0"/>
              <w:rPr>
                <w:sz w:val="20"/>
                <w:szCs w:val="20"/>
                <w:color w:val="auto"/>
              </w:rPr>
            </w:pPr>
            <w:r>
              <w:rPr>
                <w:rFonts w:ascii="Arial" w:cs="Arial" w:eastAsia="Arial" w:hAnsi="Arial"/>
                <w:sz w:val="14"/>
                <w:szCs w:val="14"/>
                <w:color w:val="auto"/>
              </w:rPr>
              <w:t>Marine</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673.4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813.6</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1,232.9</w:t>
            </w:r>
          </w:p>
        </w:tc>
      </w:tr>
      <w:tr>
        <w:trPr>
          <w:trHeight w:val="171"/>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North America</w:t>
            </w: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6,134.2</w:t>
            </w: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9,869.7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13,185.5</w:t>
            </w: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16,770.5</w:t>
            </w:r>
          </w:p>
        </w:tc>
      </w:tr>
      <w:tr>
        <w:trPr>
          <w:trHeight w:val="118"/>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80"/>
        </w:trPr>
        <w:tc>
          <w:tcPr>
            <w:tcW w:w="51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Other revenues (excluded from ASC 606)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112.9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r>
      <w:tr>
        <w:trPr>
          <w:trHeight w:val="127"/>
        </w:trPr>
        <w:tc>
          <w:tcPr>
            <w:tcW w:w="5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10,980.7</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17,122.1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23,462.3</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29,504.1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20" w:hanging="215"/>
        <w:spacing w:after="0"/>
        <w:tabs>
          <w:tab w:leader="none" w:pos="2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revenue from derivatives, leases, and other transactions that we account for under separate guidance.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contract assets and contract liabilities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nature of the receivables related to revenue from contracts with customers and other revenues (excluded from ASC 606) are substantially similar, as they are both generated from transactions with the same type of counterparties (e.g., separate fuel sales and storage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Condensed Consolidated Balance Sheets. As of June 30, 2023 and December 31, 2022, the contract assets and contract liabilities recognized by the Company were not material.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Our income tax provision and the respective effective income tax rates are as follows (in millions, except for income tax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229"/>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4920" w:type="dxa"/>
            <w:vAlign w:val="bottom"/>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8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8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14.0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3.8</w:t>
            </w:r>
          </w:p>
        </w:tc>
      </w:tr>
      <w:tr>
        <w:trPr>
          <w:trHeight w:val="180"/>
        </w:trPr>
        <w:tc>
          <w:tcPr>
            <w:tcW w:w="4920" w:type="dxa"/>
            <w:vAlign w:val="bottom"/>
          </w:tcPr>
          <w:p>
            <w:pPr>
              <w:ind w:left="20"/>
              <w:spacing w:after="0"/>
              <w:rPr>
                <w:sz w:val="20"/>
                <w:szCs w:val="20"/>
                <w:color w:val="auto"/>
              </w:rPr>
            </w:pPr>
            <w:r>
              <w:rPr>
                <w:rFonts w:ascii="Arial" w:cs="Arial" w:eastAsia="Arial" w:hAnsi="Arial"/>
                <w:sz w:val="14"/>
                <w:szCs w:val="14"/>
                <w:color w:val="auto"/>
              </w:rPr>
              <w:t>Effective income tax rate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24.3 %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ind w:left="800"/>
              <w:spacing w:after="0"/>
              <w:rPr>
                <w:sz w:val="20"/>
                <w:szCs w:val="20"/>
                <w:color w:val="auto"/>
              </w:rPr>
            </w:pPr>
            <w:r>
              <w:rPr>
                <w:rFonts w:ascii="Arial" w:cs="Arial" w:eastAsia="Arial" w:hAnsi="Arial"/>
                <w:sz w:val="14"/>
                <w:szCs w:val="14"/>
                <w:color w:val="auto"/>
              </w:rPr>
              <w:t>20.8 %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ind w:left="760"/>
              <w:spacing w:after="0"/>
              <w:rPr>
                <w:sz w:val="20"/>
                <w:szCs w:val="20"/>
                <w:color w:val="auto"/>
              </w:rPr>
            </w:pPr>
            <w:r>
              <w:rPr>
                <w:rFonts w:ascii="Arial" w:cs="Arial" w:eastAsia="Arial" w:hAnsi="Arial"/>
                <w:sz w:val="14"/>
                <w:szCs w:val="14"/>
                <w:color w:val="auto"/>
              </w:rPr>
              <w:t>7.0 %</w:t>
            </w:r>
          </w:p>
        </w:tc>
      </w:tr>
      <w:tr>
        <w:trPr>
          <w:trHeight w:val="679"/>
        </w:trPr>
        <w:tc>
          <w:tcPr>
            <w:tcW w:w="4920" w:type="dxa"/>
            <w:vAlign w:val="bottom"/>
          </w:tcPr>
          <w:p>
            <w:pPr>
              <w:spacing w:after="0"/>
              <w:rPr>
                <w:sz w:val="24"/>
                <w:szCs w:val="2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49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4"/>
          <w:szCs w:val="14"/>
          <w:color w:val="auto"/>
        </w:rPr>
        <w:t>Our provision for income taxes for the three months ended June 30, 2023 includes a discrete income tax benefit of $1.7 million, net, of which $1.5 million relates to the reversal of a valuation allowance previously recorded against the deferred tax assets of one of our foreign subsidiaries. For the three months ended June 30, 2022, the provision included a net discrete income tax benefit of $10.6 million, of which $6.3 million related to the reversal of a valuation allowance previously recorded against the deferred tax assets of one of our foreign subsidiaries, $ 3.0 million related to the remeasurement of an uncertain tax position and expiration of statute of limitation periods for one of our foreign subsidiaries, and a tax benefit of $1.2 million, net, related to other worldwide adjustments.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provision for income taxes for the six months ended June 30, 2023 includes a discrete income tax benefit of $5.5 million, net, of which a $5.0 million tax benefit relates to the reversal of valuation allowances previously recorded against deferred tax assets. Our provision for income taxes for the six months ended June 30, 2022 included a net discrete income tax benefit of $11.8 million, of which $7.1 million related to the remeasurement of an uncertain tax position and expiration of statute of limitation periods for one of our foreign subsidiaries and $6.3 million related to the reversal of a valuation allowance previously recorded against the deferred tax assets of one of our foreign subsidiaries, reduced by a tax expense of $1.6 million, net, related to other worldwide tax adjustments.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income tax provisions for the three months ended June 30, 2023 and 2022 were calculated based on the estimated annual effective income tax rates for the 2023 and 2022 years, respectively. The actual effective income tax rate for the 2023 year may be materially different for several reasons including differences between estimated versus actual results and the geographic tax jurisdictions in which the results are earned.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tax returns under examination in various U.S. state and foreign jurisdictions. The most material of these is in Denmark for the 2013 to 2019 tax years, where one of our subsidiaries has been under audit since 2018. Through June 30, 2023, we have received final tax assessments for the 2013 and 2014 tax years that were immaterial, a proposed tax assessment for the 2015 tax year of approximately $ 14.1 million (DKK 96.1 million), and proposed tax assessments for the 2016 and 2017 tax years of approximately $19.6 million (DKK 133.8 million) and $22.8 million (DKK 155.5 million), respectively. We believe these assessments are without merit and are vigorously defending against the actions. We have not yet received any proposed assessments related to the 2018 or 2019 tax years, which could be materially larger than the previous assessments if a similar methodology is applied.</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In April 2023, we received notification that the U.S. examinations of our 2017 and 2018 tax years are closed as expected.</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Commitments and Contingencies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December 2021, judgments were entered against one of our subsidiaries in the Singapore High Court in companion actions filed by a financing bank of two of our subsidiary’s suppliers. Each of the claims arose out of a financing arrangement between our subsidiary's supplier and the bank. The resulting judgments, including principal and interest, aggregated to approximately $33 million, which we paid to the bank pending the appeals of the Singapore court judgments. In January 2023, we entered into a settlement agreement with the bank pursuant to which the parties settled for approximately $13 million. As a result, we recognized a loss of $6.5 million during the year ended December 31, 2022. Pursuant to the settlement, in the first quarter of 2023 we recovered approximately $20 million in funds we had previously paid to the bank. In connection with the settlement, we have withdrawn our appeals and the parties have exchanged full and final releases in respect of the matters.</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From time to time, we are also under review by various domestic and foreign tax authorities regarding indirect tax matters and are involved in various challenges and litigation in a number of countries, including, in particular, South Korea and Brazil, where the amounts in controversy may be material. During 2016 and 2017, the South Korean branch of one of our subsidiaries received assessments totaling approximately $26.1 million (KRW 34.3 billion) from the regional tax authorities of Seoul, South Korea. The assessments primarily consist of fines and penalties for allegedly failing to issue Value Added Tax ("VAT") invoices and report certain transactions during the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2011-2014. These assessments do not involve failure to pay or collect VAT. We believe that these assessments are without merit and are currently appealing the actions.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also involved in several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contesting an assessment of approximately $ 13.5 million (BRL 65.4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established loss provisions for claims and other matters in which losses are probable and can be reasonably estimated. As of June 30, 2023, these reserves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Shareholders' Equity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Dividends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six months ended June 30, 2023, the Company's Board of Directors (the "Board") declared quarterly cash dividends of $0.14 per common share representing $8.6 million and $8.4 million in dividends, which were paid on April 21, 2023 and July 10, 2023, respectively. During the six months ended June 30, 2022, the Board declared quarterly cash dividends of $0.12 per common share representing $7.6 million and $7.4 million in dividends, which were paid on April 8, 2022 and July 1, 2022,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Other Comprehensive Income (Loss)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ind w:right="29"/>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0"/>
        </w:trPr>
        <w:tc>
          <w:tcPr>
            <w:tcW w:w="5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09"/>
              <w:spacing w:after="0" w:line="141"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Cash Flow Hedges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49"/>
              <w:spacing w:after="0" w:line="141" w:lineRule="exact"/>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88"/>
        </w:trPr>
        <w:tc>
          <w:tcPr>
            <w:tcW w:w="5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9"/>
              </w:rPr>
              <w:t>(Loss)</w:t>
            </w: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 2023</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85"/>
        </w:trPr>
        <w:tc>
          <w:tcPr>
            <w:tcW w:w="514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rPr>
                <w:sz w:val="20"/>
                <w:szCs w:val="20"/>
                <w:color w:val="auto"/>
              </w:rPr>
            </w:pPr>
            <w:r>
              <w:rPr>
                <w:rFonts w:ascii="Arial" w:cs="Arial" w:eastAsia="Arial" w:hAnsi="Arial"/>
                <w:sz w:val="14"/>
                <w:szCs w:val="14"/>
                <w:color w:val="auto"/>
              </w:rPr>
              <w:t>Balance as of June 30, 2023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(164.7)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17.8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 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(99.6)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(179.1)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51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11. Business Segments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profit as we believe it is the most meaningful measure to allocate resources and assess the performance of our segments. Corporate expenses are allocated to the segments based on usage, where possible, or on other factors according to the nature of the activity.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Information concerning our Revenue and Income from operations by reportable segment is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171"/>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5,194.4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7,843.5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11,417.2</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12,854.0</w:t>
            </w:r>
          </w:p>
        </w:tc>
      </w:tr>
      <w:tr>
        <w:trPr>
          <w:trHeight w:val="180"/>
        </w:trPr>
        <w:tc>
          <w:tcPr>
            <w:tcW w:w="516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3,642.3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5,431.8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7,533.5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9,812.6</w:t>
            </w:r>
          </w:p>
        </w:tc>
      </w:tr>
      <w:tr>
        <w:trPr>
          <w:trHeight w:val="191"/>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3,846.8</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4,511.6</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6,837.5</w:t>
            </w:r>
          </w:p>
        </w:tc>
      </w:tr>
      <w:tr>
        <w:trPr>
          <w:trHeight w:val="171"/>
        </w:trPr>
        <w:tc>
          <w:tcPr>
            <w:tcW w:w="516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10,980.7</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17,122.1</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23,462.3</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29,504.1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5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516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1"/>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4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46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0"/>
        </w:trPr>
        <w:tc>
          <w:tcPr>
            <w:tcW w:w="516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66.3</w:t>
            </w:r>
          </w:p>
        </w:tc>
      </w:tr>
      <w:tr>
        <w:trPr>
          <w:trHeight w:val="181"/>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191"/>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Corporate overhead - unallocated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r>
      <w:tr>
        <w:trPr>
          <w:trHeight w:val="196"/>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Information concerning our Accounts receivable, net of allowance for credit losses and Total assets by reportable segment is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Accounts receivable, net:</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760" w:type="dxa"/>
            <w:vAlign w:val="bottom"/>
          </w:tcPr>
          <w:p>
            <w:pPr>
              <w:ind w:left="20"/>
              <w:spacing w:after="0" w:line="138" w:lineRule="exact"/>
              <w:rPr>
                <w:sz w:val="20"/>
                <w:szCs w:val="20"/>
                <w:color w:val="auto"/>
              </w:rPr>
            </w:pPr>
            <w:r>
              <w:rPr>
                <w:rFonts w:ascii="Arial" w:cs="Arial" w:eastAsia="Arial" w:hAnsi="Arial"/>
                <w:sz w:val="14"/>
                <w:szCs w:val="14"/>
                <w:color w:val="auto"/>
              </w:rPr>
              <w:t>Aviation segment, net of allowance for credit losses of $6.0 and $4.9 as of June 30, 2023 and</w:t>
            </w:r>
          </w:p>
        </w:tc>
        <w:tc>
          <w:tcPr>
            <w:tcW w:w="1620" w:type="dxa"/>
            <w:vAlign w:val="bottom"/>
            <w:vMerge w:val="restart"/>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1,166.0</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1,452.4</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December 31, 2022, respectively</w:t>
            </w:r>
          </w:p>
        </w:tc>
        <w:tc>
          <w:tcPr>
            <w:tcW w:w="16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Land segment, net of allowance for credit losses of $6.3 and $5.8 as of June 30, 2023 and December 31,</w:t>
            </w:r>
          </w:p>
        </w:tc>
        <w:tc>
          <w:tcPr>
            <w:tcW w:w="1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respectively</w:t>
            </w:r>
          </w:p>
        </w:tc>
        <w:tc>
          <w:tcPr>
            <w:tcW w:w="1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1,141.9</w:t>
            </w:r>
          </w:p>
        </w:tc>
        <w:tc>
          <w:tcPr>
            <w:tcW w:w="0" w:type="dxa"/>
            <w:vAlign w:val="bottom"/>
          </w:tcPr>
          <w:p>
            <w:pPr>
              <w:spacing w:after="0"/>
              <w:rPr>
                <w:sz w:val="1"/>
                <w:szCs w:val="1"/>
                <w:color w:val="auto"/>
              </w:rPr>
            </w:pPr>
          </w:p>
        </w:tc>
      </w:tr>
      <w:tr>
        <w:trPr>
          <w:trHeight w:val="138"/>
        </w:trPr>
        <w:tc>
          <w:tcPr>
            <w:tcW w:w="6760" w:type="dxa"/>
            <w:vAlign w:val="bottom"/>
          </w:tcPr>
          <w:p>
            <w:pPr>
              <w:ind w:left="20"/>
              <w:spacing w:after="0" w:line="138" w:lineRule="exact"/>
              <w:rPr>
                <w:sz w:val="20"/>
                <w:szCs w:val="20"/>
                <w:color w:val="auto"/>
              </w:rPr>
            </w:pPr>
            <w:r>
              <w:rPr>
                <w:rFonts w:ascii="Arial" w:cs="Arial" w:eastAsia="Arial" w:hAnsi="Arial"/>
                <w:sz w:val="14"/>
                <w:szCs w:val="14"/>
                <w:color w:val="auto"/>
              </w:rPr>
              <w:t>Marine segment, net of allowance for credit losses of $2.9 and $3.4 as of June 30, 2023 and</w:t>
            </w:r>
          </w:p>
        </w:tc>
        <w:tc>
          <w:tcPr>
            <w:tcW w:w="16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515.0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699.8</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December 31, 2022, respectively</w:t>
            </w:r>
          </w:p>
        </w:tc>
        <w:tc>
          <w:tcPr>
            <w:tcW w:w="1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accounts receivable, net</w:t>
            </w:r>
          </w:p>
        </w:tc>
        <w:tc>
          <w:tcPr>
            <w:tcW w:w="1620" w:type="dxa"/>
            <w:vAlign w:val="bottom"/>
            <w:shd w:val="clear" w:color="auto" w:fill="CCEEFF"/>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7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20"/>
              <w:spacing w:after="0"/>
              <w:rPr>
                <w:sz w:val="20"/>
                <w:szCs w:val="20"/>
                <w:color w:val="auto"/>
              </w:rPr>
            </w:pPr>
            <w:r>
              <w:rPr>
                <w:rFonts w:ascii="Arial" w:cs="Arial" w:eastAsia="Arial" w:hAnsi="Arial"/>
                <w:sz w:val="14"/>
                <w:szCs w:val="14"/>
                <w:color w:val="auto"/>
              </w:rPr>
              <w:t>Aviation segment</w:t>
            </w:r>
          </w:p>
        </w:tc>
        <w:tc>
          <w:tcPr>
            <w:tcW w:w="1620" w:type="dxa"/>
            <w:vAlign w:val="bottom"/>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2,477.9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3,036.2</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Land segment</w:t>
            </w:r>
          </w:p>
        </w:tc>
        <w:tc>
          <w:tcPr>
            <w:tcW w:w="16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3,710.1</w:t>
            </w:r>
          </w:p>
        </w:tc>
        <w:tc>
          <w:tcPr>
            <w:tcW w:w="0" w:type="dxa"/>
            <w:vAlign w:val="bottom"/>
          </w:tcPr>
          <w:p>
            <w:pPr>
              <w:spacing w:after="0"/>
              <w:rPr>
                <w:sz w:val="1"/>
                <w:szCs w:val="1"/>
                <w:color w:val="auto"/>
              </w:rPr>
            </w:pPr>
          </w:p>
        </w:tc>
      </w:tr>
      <w:tr>
        <w:trPr>
          <w:trHeight w:val="180"/>
        </w:trPr>
        <w:tc>
          <w:tcPr>
            <w:tcW w:w="6760" w:type="dxa"/>
            <w:vAlign w:val="bottom"/>
          </w:tcPr>
          <w:p>
            <w:pPr>
              <w:ind w:left="120"/>
              <w:spacing w:after="0"/>
              <w:rPr>
                <w:sz w:val="20"/>
                <w:szCs w:val="20"/>
                <w:color w:val="auto"/>
              </w:rPr>
            </w:pPr>
            <w:r>
              <w:rPr>
                <w:rFonts w:ascii="Arial" w:cs="Arial" w:eastAsia="Arial" w:hAnsi="Arial"/>
                <w:sz w:val="14"/>
                <w:szCs w:val="14"/>
                <w:color w:val="auto"/>
              </w:rPr>
              <w:t>Marine segment</w:t>
            </w:r>
          </w:p>
        </w:tc>
        <w:tc>
          <w:tcPr>
            <w:tcW w:w="1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785.7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1,007.4</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16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82"/>
        </w:trPr>
        <w:tc>
          <w:tcPr>
            <w:tcW w:w="67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620" w:type="dxa"/>
            <w:vAlign w:val="bottom"/>
          </w:tcPr>
          <w:p>
            <w:pPr>
              <w:jc w:val="right"/>
              <w:ind w:right="144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6,961.9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8,164.6</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5560"/>
              <w:spacing w:after="0"/>
              <w:rPr>
                <w:sz w:val="20"/>
                <w:szCs w:val="20"/>
                <w:color w:val="auto"/>
              </w:rPr>
            </w:pPr>
            <w:r>
              <w:rPr>
                <w:rFonts w:ascii="Arial" w:cs="Arial" w:eastAsia="Arial" w:hAnsi="Arial"/>
                <w:sz w:val="14"/>
                <w:szCs w:val="14"/>
                <w:color w:val="auto"/>
              </w:rPr>
              <w:t>20</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67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12. Earnings Per Common Share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earnings per common share for the periods presented (in millions,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56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0"/>
        </w:trPr>
        <w:tc>
          <w:tcPr>
            <w:tcW w:w="56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Numerator:</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120"/>
              <w:spacing w:after="0"/>
              <w:rPr>
                <w:sz w:val="20"/>
                <w:szCs w:val="20"/>
                <w:color w:val="auto"/>
              </w:rPr>
            </w:pPr>
            <w:r>
              <w:rPr>
                <w:rFonts w:ascii="Arial" w:cs="Arial" w:eastAsia="Arial" w:hAnsi="Arial"/>
                <w:sz w:val="14"/>
                <w:szCs w:val="14"/>
                <w:color w:val="auto"/>
              </w:rPr>
              <w:t>Net income attributable to World Kinect</w:t>
            </w:r>
          </w:p>
        </w:tc>
        <w:tc>
          <w:tcPr>
            <w:tcW w:w="90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29.9</w:t>
            </w:r>
          </w:p>
        </w:tc>
        <w:tc>
          <w:tcPr>
            <w:tcW w:w="4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52.7</w:t>
            </w:r>
          </w:p>
        </w:tc>
        <w:tc>
          <w:tcPr>
            <w:tcW w:w="4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Denominator:</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12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91"/>
        </w:trPr>
        <w:tc>
          <w:tcPr>
            <w:tcW w:w="5620" w:type="dxa"/>
            <w:vAlign w:val="bottom"/>
            <w:shd w:val="clear" w:color="auto" w:fill="CCEEFF"/>
          </w:tcPr>
          <w:p>
            <w:pPr>
              <w:ind w:left="120"/>
              <w:spacing w:after="0" w:line="191" w:lineRule="exact"/>
              <w:rPr>
                <w:sz w:val="20"/>
                <w:szCs w:val="20"/>
                <w:color w:val="auto"/>
              </w:rPr>
            </w:pPr>
            <w:r>
              <w:rPr>
                <w:rFonts w:ascii="Arial" w:cs="Arial" w:eastAsia="Arial" w:hAnsi="Arial"/>
                <w:sz w:val="14"/>
                <w:szCs w:val="14"/>
                <w:color w:val="auto"/>
              </w:rPr>
              <w:t xml:space="preserve">Effect of dilutive securities </w:t>
            </w:r>
            <w:r>
              <w:rPr>
                <w:rFonts w:ascii="Arial" w:cs="Arial" w:eastAsia="Arial" w:hAnsi="Arial"/>
                <w:sz w:val="18"/>
                <w:szCs w:val="18"/>
                <w:color w:val="auto"/>
                <w:vertAlign w:val="superscript"/>
              </w:rPr>
              <w:t>(1)</w:t>
            </w:r>
          </w:p>
        </w:tc>
        <w:tc>
          <w:tcPr>
            <w:tcW w:w="9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5620" w:type="dxa"/>
            <w:vAlign w:val="bottom"/>
          </w:tcPr>
          <w:p>
            <w:pPr>
              <w:ind w:left="12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(loss) per common share</w:t>
            </w: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4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20" w:type="dxa"/>
            <w:vAlign w:val="bottom"/>
          </w:tcPr>
          <w:p>
            <w:pPr>
              <w:ind w:left="20"/>
              <w:spacing w:after="0" w:line="153" w:lineRule="exact"/>
              <w:rPr>
                <w:sz w:val="20"/>
                <w:szCs w:val="20"/>
                <w:color w:val="auto"/>
              </w:rPr>
            </w:pPr>
            <w:r>
              <w:rPr>
                <w:rFonts w:ascii="Arial" w:cs="Arial" w:eastAsia="Arial" w:hAnsi="Arial"/>
                <w:sz w:val="14"/>
                <w:szCs w:val="14"/>
                <w:color w:val="auto"/>
              </w:rPr>
              <w:t>Diluted earnings (loss) per common share</w:t>
            </w:r>
          </w:p>
        </w:tc>
        <w:tc>
          <w:tcPr>
            <w:tcW w:w="900" w:type="dxa"/>
            <w:vAlign w:val="bottom"/>
            <w:tcBorders>
              <w:top w:val="single" w:sz="8" w:color="auto"/>
              <w:bottom w:val="single" w:sz="8" w:color="auto"/>
            </w:tcBorders>
          </w:tcPr>
          <w:p>
            <w:pPr>
              <w:jc w:val="right"/>
              <w:ind w:right="729"/>
              <w:spacing w:after="0" w:line="153"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0.48</w:t>
            </w:r>
          </w:p>
        </w:tc>
        <w:tc>
          <w:tcPr>
            <w:tcW w:w="1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0.39</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0.84</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62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color w:val="auto"/>
              </w:rPr>
              <w:t>Weighted average securities which are not included in the calculation of diluted</w:t>
            </w: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56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earnings per common share because their impact is anti-dilutive or their performance</w:t>
            </w:r>
          </w:p>
        </w:tc>
        <w:tc>
          <w:tcPr>
            <w:tcW w:w="90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conditions have not been met</w:t>
            </w:r>
          </w:p>
        </w:tc>
        <w:tc>
          <w:tcPr>
            <w:tcW w:w="9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There was no dilutive effect of the Convertible Notes in the three and six months ended June 30, 2023 by application of the if-converted method.</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70" w:lineRule="exact"/>
        <w:rPr>
          <w:rFonts w:ascii="Arial" w:cs="Arial" w:eastAsia="Arial" w:hAnsi="Arial"/>
          <w:sz w:val="18"/>
          <w:szCs w:val="18"/>
          <w:color w:val="auto"/>
          <w:vertAlign w:val="superscript"/>
        </w:rPr>
      </w:pPr>
    </w:p>
    <w:p>
      <w:pPr>
        <w:ind w:left="5560"/>
        <w:spacing w:after="0"/>
        <w:rPr>
          <w:rFonts w:ascii="Arial" w:cs="Arial" w:eastAsia="Arial" w:hAnsi="Arial"/>
          <w:sz w:val="18"/>
          <w:szCs w:val="18"/>
          <w:color w:val="auto"/>
          <w:vertAlign w:val="superscript"/>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23" w:name="page24"/>
    <w:bookmarkEnd w:id="23"/>
    <w:p>
      <w:pPr>
        <w:spacing w:after="0"/>
        <w:tabs>
          <w:tab w:leader="none" w:pos="62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following discussion should be read in conjunction with our 2022 10-K Report and the unaudited Condensed Consolidated Financial Statements and related Notes in Item 1 – Financial Statements of this 10-Q Report. A reference to a "Note" herein refers to the accompanying Notes to the Condensed Consolidated Financial Statements contained in Item 1</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2022 10-K Report.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10-Q Report includes forward-looking statements regarding (i) the conditions in the aviation, land, and marine markets and their impact on our business, (ii) our growth strategies, including the position of our land segment to gain market share, (iii) the impact of fuel prices and our working capital, liquidity, and capital expenditure requirements, (iv) our expectations and estimates regarding tax, legal and accounting matters, including the impact on our financial statements, (v) our hedging strategy, (vi) estimates regarding the financial impact of our derivative contracts,</w:t>
      </w:r>
    </w:p>
    <w:p>
      <w:pPr>
        <w:ind w:firstLine="5"/>
        <w:spacing w:after="0" w:line="266" w:lineRule="auto"/>
        <w:tabs>
          <w:tab w:leader="none" w:pos="278"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expectations regarding inflation and its impact on us, and (viii) our role in the transition to lower carbon alternatives and the impact of our services on such transition. These forward-looking statements are qualified in their entirety by cautionary statements and risk factor disclosures contained in our SEC filings.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Important factors that could cause actual results to differ materially from the results and events anticipated or implied by such forward-looking statements include, but are not limited to:</w:t>
      </w:r>
    </w:p>
    <w:p>
      <w:pPr>
        <w:spacing w:after="0" w:line="47"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customer and counterparty creditworthiness and our ability to collect accounts receivable and settle derivative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sudden changes in the market price of fuel or extremely high or low fuel prices that continue for an extended period of time;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adverse conditions in the industries in which our customers operate;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inability to effectively mitigate certain financial risks and other risks associated with derivatives and our physical fuel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relationships with our employees and potential labor disputes associated with employees covered by collective bargaining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failure to comply with restrictions and covenants governing our outstanding indebtedness;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impact of cyber and other information security related incidents;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the political, economic or regulatory environment generally and in the markets in which we operate, such as the current conflict in Eastern Europe;</w:t>
      </w:r>
    </w:p>
    <w:p>
      <w:pPr>
        <w:spacing w:after="0" w:line="93" w:lineRule="exact"/>
        <w:rPr>
          <w:rFonts w:ascii="Arial" w:cs="Arial" w:eastAsia="Arial" w:hAnsi="Arial"/>
          <w:sz w:val="14"/>
          <w:szCs w:val="14"/>
          <w:color w:val="auto"/>
        </w:rPr>
      </w:pPr>
    </w:p>
    <w:p>
      <w:pPr>
        <w:jc w:val="both"/>
        <w:ind w:left="520" w:hanging="260"/>
        <w:spacing w:after="0" w:line="267"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credit terms extended to us from our suppliers;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non-performance of suppliers on their sale commitments and customers on their purchase commitments;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24" w:name="page25"/>
    <w:bookmarkEnd w:id="24"/>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non-performance of third-party service providers;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effectively integrate and derive benefits from acquired businesses;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meet financial forecasts associated with our operating plan;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lower than expected cash flows and revenues, which could impair our ability to realize the value of recorded intangible assets and goodwill;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availability of cash and sufficient liquidity to fund our working capital and strategic investment needs;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currency exchange fluctuations;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inflationary pressures and their impact on our customers or the global economy, including sudden or significant increases in interest rates or a global recession;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effectively leverage technology and operating systems and realize the anticipated benefits;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failure to meet fuel and other product specifications agreed with our customers;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environmental and other risks associated with the storage, transportation and delivery of petroleum products;</w:t>
      </w:r>
    </w:p>
    <w:p>
      <w:pPr>
        <w:spacing w:after="0" w:line="93"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reputational harm from adverse publicity arising out of spills, environmental contamination or public perception about the impacts on climate change by us or other companies in our industry;</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risks associated with operating in high-risk locations, including supply disruptions, border closures and other logistical difficulties that arise when working in these areas;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uninsured or underinsured losses;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seasonal variability that adversely affects our revenues and operating results, as well as the impact of natural disasters, such as earthquakes, hurricanes and wildfires;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declines in the value and liquidity of cash equivalents and investments;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retain and attract senior management and other key employees;</w:t>
      </w:r>
    </w:p>
    <w:p>
      <w:pPr>
        <w:spacing w:after="0" w:line="93"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U.S. or foreign tax laws, interpretations of such laws, changes in the mix of taxable income among different tax jurisdictions, or adverse results of tax audits, assessments, or disputes;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failure to generate sufficient future taxable income in jurisdictions with material deferred tax assets and net operating loss carryforwards;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the U.K.'s exit from the European Union, known as Brexit, on our business, operations and financial condition;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comply with U.S. and international laws and regulations, including those related to anti-corruption, economic sanction programs and environmental matters;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outcome of litigation and other proceedings, including the costs associated in defending any actions; and</w:t>
      </w:r>
    </w:p>
    <w:p>
      <w:pPr>
        <w:spacing w:after="0" w:line="93"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risks, including those described in this 10-Q report and in Item 1A – Risk Factors in our 2022 10-K Report, together with those described from time to time in our other filings with the SEC.</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Business Overview</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June 15, 2023, the Company's shareholders approved an amendment to the Company's Articles of Incorporation, as amended, changing the Company's name from World Fuel Services Corporation to World Kinect Corporation. This change is intended to better reflect the Company's ongoing transformation into a more resilient, diversified energy and solutions provider. Effective at the open of market trading on June 16, 2023, the Company’s common stock began trading on the New York Stock Exchange under its new name as well as the Company’s new ticker symbol, "WKC."</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 leading global energy management company, offering a broad suite of solutions across the energy product spectrum. In addition to our core energy and fuel offerings to customers in the transportation sector, we provide advisory services, sustainability and renewable energy solutions, as well as supply fulfillment for natural gas and power. We continue to focus on advancing the energy transition to lower carbon alternatives through expanding our portfolio of energy solutions and providing customers with greater access to sustainably sourced energy.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operate in three reportable segments consisting of aviation, land, and marine. For additional discussion on our reportable segments, see "Reportable Segments" under Part I, Item 1 – Business in our 2022 10-K Report. Selected financial information with respect to our business segments is provided in Note 11. Business Segments.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Aviation Segment</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aviation segment has benefited from growth in our fuel and related service offerings, as well as our enhanced logistics capabilities and the geographic expansion of our aviation fueling operations into additional international airport locations. As part of our growth strategy, we have also increased the level of inventory that we hold in order to meet the needs of our customers. While we generally enter into financial derivative contracts to mitigate price risk exposure associated with our inventory, market pricing dynamics may still negatively impact our results. In the first half of 2022, oil futures forward prices traded at significantly lower levels than then-current market prices, resulting in elevated price volatility and a severely backwardated market that negatively impacted our results. The oil futures forward pricing structure has since returned closer to historical trading and volatility levels.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Land Segment</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believe our land segment is well-positioned to continue growing market share, both organically and through leveraging the capabilities of our acquisitions, including Flyers, which we acquired in January 2022, serving to further enhance our business to deliver value-added solutions to our land fuel customers.</w:t>
      </w:r>
    </w:p>
    <w:p>
      <w:pPr>
        <w:spacing w:after="0" w:line="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provide energy advisory services, sustainability solutions, as well as supply fulfillment for natural gas and power. We continue to focus on supporting the energy transition through various initiatives and expanding our sustainability offerings, including renewable fuel products, and carbon management and renewable energy solutions. We are continuing to invest in talent in this area, which we believe will help accelerate growth in these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Marine Segment</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Due to the generally spot nature of sales in our marine business, we have traditionally benefited from elevated fuel prices and volatility, supply uncertainty, and a constrained credit environment. Over the last several years, we have spent a considerable amount of time reorganizing our business to drive internal efficiencies so that we can generate relatively moderate levels of earnings in stable markets and yet remain poised to provide additional value in volatile and credit constrained markets. In 2022, our marine segment delivered exceptional results due to the market conditions arising from the dramatic increase in global oil prices and higher interest rates, as well as the disruption of traditional supply patterns and related price volatility. However, if lower global oil prices and the reduced market volatility experienced in the first half of 2023 continue, we would expect our marine segment's performance for the full year 2023 to be materially lower than the extraordinary results produced in 2022.</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Macroeconomic Environment</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After being relatively moderate in recent years, inflation in the United States and other jurisdictions in which we do business increased significantly beginning in late 2021, primarily driven by supply chain disruptions, labor shortages and increased commodity prices, which generally resulted in higher costs in 2022 and into 2023.</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However, to the extent that a rising cost environment impacts our results, there are typically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Additionally, we take measures to mitigate the impact of increases in fuel prices through comprehensive hedging programs and the use of financial derivative contracts.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these reasons, the increased cost environment, caused in part by inflation, has not had a material impact on our historical results of operations for the periods presented in this report. However,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See “We extend credit to most of our customers in connection with their purchase of fuel and services from us, and our financial condition, results of operations and cash flows will be adversely affected if we are unable to collect accounts receivable,” “Changes in the market price of fuel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in our 2022 10-K Report for additional discussion of these risks.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Three Months Ended June 30, 2023 Compared to Three Months Ended June 30,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Consolidated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our consolidated results of operations for the periods indicated (in millions, except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b w:val="1"/>
                <w:bCs w:val="1"/>
                <w:color w:val="auto"/>
              </w:rPr>
              <w:t>For the Three Months Ended 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0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5"/>
                <w:szCs w:val="15"/>
                <w:color w:val="auto"/>
              </w:rPr>
            </w:pPr>
          </w:p>
        </w:tc>
        <w:tc>
          <w:tcPr>
            <w:tcW w:w="164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10,980.7</w:t>
            </w:r>
          </w:p>
        </w:tc>
        <w:tc>
          <w:tcPr>
            <w:tcW w:w="1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17,122.1</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04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10,699.0</w:t>
            </w:r>
          </w:p>
        </w:tc>
        <w:tc>
          <w:tcPr>
            <w:tcW w:w="14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16,868.7</w:t>
            </w:r>
          </w:p>
        </w:tc>
        <w:tc>
          <w:tcPr>
            <w:tcW w:w="0" w:type="dxa"/>
            <w:vAlign w:val="bottom"/>
          </w:tcPr>
          <w:p>
            <w:pPr>
              <w:spacing w:after="0"/>
              <w:rPr>
                <w:sz w:val="1"/>
                <w:szCs w:val="1"/>
                <w:color w:val="auto"/>
              </w:rPr>
            </w:pPr>
          </w:p>
        </w:tc>
      </w:tr>
      <w:tr>
        <w:trPr>
          <w:trHeight w:val="182"/>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0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20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80"/>
        </w:trPr>
        <w:tc>
          <w:tcPr>
            <w:tcW w:w="450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80.8</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 impairments</w:t>
            </w:r>
          </w:p>
        </w:tc>
        <w:tc>
          <w:tcPr>
            <w:tcW w:w="20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00" w:type="dxa"/>
            <w:vAlign w:val="bottom"/>
          </w:tcPr>
          <w:p>
            <w:pPr>
              <w:ind w:left="180"/>
              <w:spacing w:after="0"/>
              <w:rPr>
                <w:sz w:val="20"/>
                <w:szCs w:val="20"/>
                <w:color w:val="auto"/>
              </w:rPr>
            </w:pPr>
            <w:r>
              <w:rPr>
                <w:rFonts w:ascii="Arial" w:cs="Arial" w:eastAsia="Arial" w:hAnsi="Arial"/>
                <w:sz w:val="14"/>
                <w:szCs w:val="14"/>
                <w:color w:val="auto"/>
              </w:rPr>
              <w:t>Total operating expenses</w:t>
            </w:r>
          </w:p>
        </w:tc>
        <w:tc>
          <w:tcPr>
            <w:tcW w:w="20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w:t>
            </w:r>
          </w:p>
        </w:tc>
        <w:tc>
          <w:tcPr>
            <w:tcW w:w="1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82"/>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0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line="160" w:lineRule="exact"/>
              <w:rPr>
                <w:sz w:val="20"/>
                <w:szCs w:val="20"/>
                <w:color w:val="auto"/>
              </w:rPr>
            </w:pPr>
            <w:r>
              <w:rPr>
                <w:rFonts w:ascii="Arial" w:cs="Arial" w:eastAsia="Arial" w:hAnsi="Arial"/>
                <w:sz w:val="14"/>
                <w:szCs w:val="14"/>
                <w:color w:val="auto"/>
              </w:rPr>
              <w:t>Non-operating income (expenses), net:</w:t>
            </w: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20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0"/>
        </w:trPr>
        <w:tc>
          <w:tcPr>
            <w:tcW w:w="450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204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non-operating income (expense), net</w:t>
            </w:r>
          </w:p>
        </w:tc>
        <w:tc>
          <w:tcPr>
            <w:tcW w:w="204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8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0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2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20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Net income (loss) attributable to World Kinect</w:t>
            </w:r>
          </w:p>
        </w:tc>
        <w:tc>
          <w:tcPr>
            <w:tcW w:w="2040" w:type="dxa"/>
            <w:vAlign w:val="bottom"/>
          </w:tcPr>
          <w:p>
            <w:pPr>
              <w:spacing w:after="0"/>
              <w:rPr>
                <w:sz w:val="14"/>
                <w:szCs w:val="14"/>
                <w:color w:val="auto"/>
              </w:rPr>
            </w:pPr>
          </w:p>
        </w:tc>
        <w:tc>
          <w:tcPr>
            <w:tcW w:w="1500" w:type="dxa"/>
            <w:vAlign w:val="bottom"/>
            <w:tcBorders>
              <w:bottom w:val="single" w:sz="8" w:color="auto"/>
            </w:tcBorders>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4"/>
                <w:szCs w:val="14"/>
                <w:color w:val="auto"/>
              </w:rPr>
            </w:pPr>
          </w:p>
        </w:tc>
        <w:tc>
          <w:tcPr>
            <w:tcW w:w="1500" w:type="dxa"/>
            <w:vAlign w:val="bottom"/>
            <w:tcBorders>
              <w:bottom w:val="single" w:sz="8" w:color="auto"/>
            </w:tcBorders>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71"/>
        </w:trPr>
        <w:tc>
          <w:tcPr>
            <w:tcW w:w="450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5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Basic earnings (loss) per common share</w:t>
            </w:r>
          </w:p>
        </w:tc>
        <w:tc>
          <w:tcPr>
            <w:tcW w:w="3540" w:type="dxa"/>
            <w:vAlign w:val="bottom"/>
            <w:tcBorders>
              <w:top w:val="single" w:sz="8" w:color="CCEEFF"/>
            </w:tcBorders>
            <w:gridSpan w:val="2"/>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0.48</w:t>
            </w:r>
          </w:p>
        </w:tc>
        <w:tc>
          <w:tcPr>
            <w:tcW w:w="1640" w:type="dxa"/>
            <w:vAlign w:val="bottom"/>
            <w:tcBorders>
              <w:top w:val="single" w:sz="8" w:color="CCEEFF"/>
            </w:tcBorders>
            <w:gridSpan w:val="2"/>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71"/>
        </w:trPr>
        <w:tc>
          <w:tcPr>
            <w:tcW w:w="450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1500" w:type="dxa"/>
            <w:vAlign w:val="bottom"/>
            <w:tcBorders>
              <w:top w:val="single" w:sz="8" w:color="auto"/>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00" w:type="dxa"/>
            <w:vAlign w:val="bottom"/>
            <w:tcBorders>
              <w:top w:val="single" w:sz="8" w:color="auto"/>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5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Diluted earnings (loss) per common share</w:t>
            </w:r>
          </w:p>
        </w:tc>
        <w:tc>
          <w:tcPr>
            <w:tcW w:w="3540" w:type="dxa"/>
            <w:vAlign w:val="bottom"/>
            <w:tcBorders>
              <w:top w:val="single" w:sz="8" w:color="CCEEFF"/>
            </w:tcBorders>
            <w:gridSpan w:val="2"/>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0.48</w:t>
            </w:r>
          </w:p>
        </w:tc>
        <w:tc>
          <w:tcPr>
            <w:tcW w:w="1640" w:type="dxa"/>
            <w:vAlign w:val="bottom"/>
            <w:tcBorders>
              <w:top w:val="single" w:sz="8" w:color="CCEEFF"/>
            </w:tcBorders>
            <w:gridSpan w:val="2"/>
          </w:tcPr>
          <w:p>
            <w:pPr>
              <w:jc w:val="right"/>
              <w:ind w:right="13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40" w:type="dxa"/>
            <w:vAlign w:val="bottom"/>
            <w:vMerge w:val="restart"/>
          </w:tcPr>
          <w:p>
            <w:pPr>
              <w:jc w:val="right"/>
              <w:ind w:right="749"/>
              <w:spacing w:after="0"/>
              <w:rPr>
                <w:sz w:val="20"/>
                <w:szCs w:val="20"/>
                <w:color w:val="auto"/>
              </w:rPr>
            </w:pPr>
            <w:r>
              <w:rPr>
                <w:rFonts w:ascii="Arial" w:cs="Arial" w:eastAsia="Arial" w:hAnsi="Arial"/>
                <w:sz w:val="14"/>
                <w:szCs w:val="14"/>
                <w:color w:val="auto"/>
              </w:rPr>
              <w:t>25</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5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Our consolidated revenue for the three months ended June 30, 2023 was $11.0 billion, a decrease of $6.1 billion, or 36%, compared to the three months ended June 30,</w:t>
      </w:r>
      <w:r>
        <w:rPr>
          <w:rFonts w:ascii="Arial" w:cs="Arial" w:eastAsia="Arial" w:hAnsi="Arial"/>
          <w:sz w:val="14"/>
          <w:szCs w:val="14"/>
          <w:i w:val="1"/>
          <w:iCs w:val="1"/>
          <w:color w:val="auto"/>
        </w:rPr>
        <w:t xml:space="preserve"> </w:t>
      </w:r>
      <w:r>
        <w:rPr>
          <w:rFonts w:ascii="Arial" w:cs="Arial" w:eastAsia="Arial" w:hAnsi="Arial"/>
          <w:sz w:val="14"/>
          <w:szCs w:val="14"/>
          <w:color w:val="auto"/>
        </w:rPr>
        <w:t>2022, primarily driven by lower prices across all segments, as discussed further below.</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Gross Profit. </w:t>
      </w:r>
      <w:r>
        <w:rPr>
          <w:rFonts w:ascii="Arial" w:cs="Arial" w:eastAsia="Arial" w:hAnsi="Arial"/>
          <w:sz w:val="14"/>
          <w:szCs w:val="14"/>
          <w:color w:val="auto"/>
        </w:rPr>
        <w:t>Our gross profit for the three months ended June 30, 2023 was $281.7 million, an increase of $28.3 million, or 11%, compared to the three months ended June 30,</w:t>
      </w:r>
      <w:r>
        <w:rPr>
          <w:rFonts w:ascii="Arial" w:cs="Arial" w:eastAsia="Arial" w:hAnsi="Arial"/>
          <w:sz w:val="14"/>
          <w:szCs w:val="14"/>
          <w:i w:val="1"/>
          <w:iCs w:val="1"/>
          <w:color w:val="auto"/>
        </w:rPr>
        <w:t xml:space="preserve"> </w:t>
      </w:r>
      <w:r>
        <w:rPr>
          <w:rFonts w:ascii="Arial" w:cs="Arial" w:eastAsia="Arial" w:hAnsi="Arial"/>
          <w:sz w:val="14"/>
          <w:szCs w:val="14"/>
          <w:color w:val="auto"/>
        </w:rPr>
        <w:t>2022, attributable to increased gross profit of $75.4 million in our aviation segment, partially offset by decreased gross profit of $36.2 million and $10.9 million in our marine and land segments, respectively, as discussed further below.</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Operating Expenses. </w:t>
      </w:r>
      <w:r>
        <w:rPr>
          <w:rFonts w:ascii="Arial" w:cs="Arial" w:eastAsia="Arial" w:hAnsi="Arial"/>
          <w:sz w:val="14"/>
          <w:szCs w:val="14"/>
          <w:color w:val="auto"/>
        </w:rPr>
        <w:t>Total operating expenses for the three months ended June 30, 2023 were $206.2 million, an increase of $5.5 million, or 3%, compared to the three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June 30, 2022. The increase in operating expenses was primarily driven by higher compensation costs partially offset by a decrease in general and administrative costs, as discussed further below.</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 xml:space="preserve">Non-Operating Income (Expense), net. </w:t>
      </w:r>
      <w:r>
        <w:rPr>
          <w:rFonts w:ascii="Arial" w:cs="Arial" w:eastAsia="Arial" w:hAnsi="Arial"/>
          <w:sz w:val="14"/>
          <w:szCs w:val="14"/>
          <w:color w:val="auto"/>
        </w:rPr>
        <w:t>For the three months ended June 30, 2023, we had net non-operating expense of $35.3 million compared to net non-operating expense of</w:t>
      </w:r>
      <w:r>
        <w:rPr>
          <w:rFonts w:ascii="Arial" w:cs="Arial" w:eastAsia="Arial" w:hAnsi="Arial"/>
          <w:sz w:val="14"/>
          <w:szCs w:val="14"/>
          <w:i w:val="1"/>
          <w:iCs w:val="1"/>
          <w:color w:val="auto"/>
        </w:rPr>
        <w:t xml:space="preserve"> </w:t>
      </w:r>
      <w:r>
        <w:rPr>
          <w:rFonts w:ascii="Arial" w:cs="Arial" w:eastAsia="Arial" w:hAnsi="Arial"/>
          <w:sz w:val="14"/>
          <w:szCs w:val="14"/>
          <w:color w:val="auto"/>
        </w:rPr>
        <w:t>$30.5 million for the three months ended June 30, 2022. The increase of $4.7 million during the three months ended June 30, 2023 was primarily attributable to a $5.9 million increase in interest expense and lower equity in earnings, partially offset by lower foreign currency losses during the three months ended June 30, 2023 compared to the three months ended June 30, 2022. The increase in interest expense was primarily driven by higher interest rates and fees associated with sales of accounts receivable under our RPAs.</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For the three months ended June 30, 2023, we recognized an income tax expense of $9.8 million, compared to income tax benefit of $2.5 million for the three</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2022. The increase of $12.3 million was primarily attributable to differences in net discrete tax items, as well as an increase in pre-tax earnings and changes in the jurisdictional mix of those earnings. See Note 8. Income Taxes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Aviation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the aviation segment results of operations for the periods indicated (in millions, except price per gallon):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For the Three Months Ended 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5"/>
                <w:szCs w:val="15"/>
                <w:color w:val="auto"/>
              </w:rPr>
            </w:pPr>
          </w:p>
        </w:tc>
        <w:tc>
          <w:tcPr>
            <w:tcW w:w="15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5,194.4</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7,843.5</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(2,649.0)</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2"/>
        </w:trPr>
        <w:tc>
          <w:tcPr>
            <w:tcW w:w="47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metrics: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Aviation segment volumes (gallons)</w:t>
            </w:r>
          </w:p>
        </w:tc>
        <w:tc>
          <w:tcPr>
            <w:tcW w:w="1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1,846.6</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1,831.2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 average price per gallon</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Revenues in our aviation segment were $5.2 billion for the three months ended June 30, 2023, a decrease of $2.6 billion, or 34%, compared to the three months ended June 30, 2022. The decrease in revenue was driven by lower average prices. Average jet fuel price per gallon sold decreased by 38% in the three months ended June 30, 2023 compared to the three months ended June 30, 2022. Total aviation volumes increased by 15.4 million gallons, or 1%, to 1.8 billion gallons as organic growth was offset by the reduction in lower return activity.</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Aviation segment gross profit for the three months ended June 30, 2023 was $128.2 million, an increase of $75.4 million, or 143%, compared to the three months ended June 30, 2022. The increase in gross profit during the three months ended June 30, 2023 as compared to the prior period was primarily attributable to the impact of significant inventory losses arising from the extreme backwardation and price volatility experienced during the three months ended June 30, 2022. Gross profit also benefited from higher margins driven by our focus on maintaining returns in a higher interest rate environment.</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Income from operations in our aviation segment for the three months ended June 30, 2023 was $ 58.1 million, an increase of $65.0 million, or 945%, compared to the three months ended June 30, 2022. The higher gross profit discussed above was partially offset by a $10.4 million increase in operating expenses primarily attributable to higher incentive compensation costs in connection with improved financial performance.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Land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the land segment results of operations for the periods indicated (in millions, except price per gallon):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For the Three Months Ended 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5"/>
                <w:szCs w:val="15"/>
                <w:color w:val="auto"/>
              </w:rPr>
            </w:pPr>
          </w:p>
        </w:tc>
        <w:tc>
          <w:tcPr>
            <w:tcW w:w="15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3,642.3</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5,431.8</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(1,789.5)</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2"/>
        </w:trPr>
        <w:tc>
          <w:tcPr>
            <w:tcW w:w="47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metrics: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Land segment volumes (gallons) </w:t>
            </w:r>
            <w:r>
              <w:rPr>
                <w:rFonts w:ascii="Arial" w:cs="Arial" w:eastAsia="Arial" w:hAnsi="Arial"/>
                <w:sz w:val="18"/>
                <w:szCs w:val="18"/>
                <w:color w:val="auto"/>
                <w:vertAlign w:val="superscript"/>
              </w:rPr>
              <w:t>(1)</w:t>
            </w:r>
          </w:p>
        </w:tc>
        <w:tc>
          <w:tcPr>
            <w:tcW w:w="1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1,507.6</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1,531.7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segment average price per gallon</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gallons and gallon equivalents of British Thermal Units (BTU) for our natural gas sales and Kilowatt Hours (kWh) for our power business.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Revenues in our land segment were $3.6 billion for the three months ended June 30, 2023, a decrease of $1.8 billion, or 33%, compared to the three months ended June 30, 2022. The decrease in revenue was principally driven by lower average fuel prices combined with lower volumes. Average fuel prices decreased 32% for the three months ended June 30, 2023 compared to the three months ended June 30, 2022. Total volumes decreased by 24.2 million, or 2%, to 1.5 billion gallons or gallon equivalents in the three months ended June 30, 2023 compared to the three months ended June 30, 2022 driven by lower activity in our liquid fuel business in North America, partially offset by increased activity in our natural gas and power business.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land segment gross profit for the three months ended June 30, 2023 was $111.5 million, a decrease of $ 10.9 million, or 9%, compared to the three months ended June 30, 2022. The decrease in gross profit was primarily driven by our liquid fuel business in North America, as well as our U.K. business, which benefited from significant price volatility in the first half of 2022. This decrease was partially offset by improved performance in our sustainability-related offerings.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our land segment, income from operations for the three months ended June 30, 2023 was $24.6 million, a decrease of $8.3 million, or 25%, compared to the three months ended June 30, 2022. The decrease in gross profit discussed above was partially offset by a decrease in operating expenses principally related to lower general and administrative costs.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Marine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the marine segment results of operations for the periods indicated (in millions, except price per metric ton):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For the Three Months Ended 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5"/>
                <w:szCs w:val="15"/>
                <w:color w:val="auto"/>
              </w:rPr>
            </w:pPr>
          </w:p>
        </w:tc>
        <w:tc>
          <w:tcPr>
            <w:tcW w:w="15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2,144.0</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3,846.8</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(1,702.8)</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2"/>
        </w:trPr>
        <w:tc>
          <w:tcPr>
            <w:tcW w:w="47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metrics: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Marine segment volumes (metric tons)</w:t>
            </w:r>
          </w:p>
        </w:tc>
        <w:tc>
          <w:tcPr>
            <w:tcW w:w="1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Marine segment average price per metric ton</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509.37</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788.32</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Revenues in our marine segment were $2.1 billion for the three months ended June 30, 2023, a decrease of $1.7 billion, or 44%, compared to the three months ended June 30, 2022. The decrease in revenue was principally driven by a 35% decrease in the average price per metric ton of bunker fuel sold in the three months ended June 30, 2023 compared to the three months ended June 30, 2022. Total volumes decreased by 0.7 million metric tons, or 14%,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9" w:name="page30"/>
    <w:bookmarkEnd w:id="29"/>
    <w:p>
      <w:pPr>
        <w:jc w:val="both"/>
        <w:spacing w:after="0" w:line="281" w:lineRule="auto"/>
        <w:rPr>
          <w:sz w:val="20"/>
          <w:szCs w:val="20"/>
          <w:color w:val="auto"/>
        </w:rPr>
      </w:pPr>
      <w:r>
        <w:rPr>
          <w:rFonts w:ascii="Arial" w:cs="Arial" w:eastAsia="Arial" w:hAnsi="Arial"/>
          <w:sz w:val="14"/>
          <w:szCs w:val="14"/>
          <w:color w:val="auto"/>
        </w:rPr>
        <w:t>from 4.2 million metric tons for the three months ended June 30, 2023 compared to 4.9 million metric tons for the three months ended June 30, 2022 primarily due to reduced demand in our resale businesses.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Marine segment gross profit for the three months ended June 30, 2023 was $42.0 million, a decrease of $36.2 million, or 46%, compared to the three months ended June 30, 2022 principally due to near record bunker fuel prices and heightened market volatility during the three months ended June 30, 2022 as well as increased competition resulting from lower bunker fuel prices, together with softening demand driven by changes in the global macroeconomic environment during the three months ended June 30, 2023.</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marine segment income from operations for the three months ended June 30, 2023 was $19.8 million, a decrease of $32.9 million, or 62%, compared to the three months ended June 30, 2022, primarily due to the decrease in gross profit as well as a $3.3 million decrease in operating expenses, largely driven by lower incentive compensation costs compared to the three months ended June 30, 2022.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Six Months Ended June 30, 2023 Compared to Six Months Ended June 30,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Consolidated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our consolidated results of operations for the periods indicated (in millions, except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b w:val="1"/>
                <w:bCs w:val="1"/>
                <w:color w:val="auto"/>
              </w:rPr>
              <w:t>For the Six Months Ended June 30,</w:t>
            </w:r>
          </w:p>
        </w:tc>
        <w:tc>
          <w:tcPr>
            <w:tcW w:w="780" w:type="dxa"/>
            <w:vAlign w:val="bottom"/>
            <w:tcBorders>
              <w:bottom w:val="single" w:sz="8" w:color="auto"/>
            </w:tcBorders>
          </w:tcPr>
          <w:p>
            <w:pPr>
              <w:spacing w:after="0"/>
              <w:rPr>
                <w:sz w:val="16"/>
                <w:szCs w:val="16"/>
                <w:color w:val="auto"/>
              </w:rPr>
            </w:pPr>
          </w:p>
        </w:tc>
      </w:tr>
      <w:tr>
        <w:trPr>
          <w:trHeight w:val="182"/>
        </w:trPr>
        <w:tc>
          <w:tcPr>
            <w:tcW w:w="6760" w:type="dxa"/>
            <w:vAlign w:val="bottom"/>
          </w:tcPr>
          <w:p>
            <w:pPr>
              <w:spacing w:after="0"/>
              <w:rPr>
                <w:sz w:val="15"/>
                <w:szCs w:val="15"/>
                <w:color w:val="auto"/>
              </w:rPr>
            </w:pPr>
          </w:p>
        </w:tc>
        <w:tc>
          <w:tcPr>
            <w:tcW w:w="1420" w:type="dxa"/>
            <w:vAlign w:val="bottom"/>
          </w:tcPr>
          <w:p>
            <w:pPr>
              <w:jc w:val="right"/>
              <w:ind w:right="89"/>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54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5"/>
                <w:szCs w:val="15"/>
                <w:color w:val="auto"/>
              </w:rPr>
            </w:pPr>
          </w:p>
        </w:tc>
      </w:tr>
      <w:tr>
        <w:trPr>
          <w:trHeight w:val="171"/>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20" w:type="dxa"/>
            <w:vAlign w:val="bottom"/>
            <w:tcBorders>
              <w:top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23,462.3</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29,504.1</w:t>
            </w: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22,917.9</w:t>
            </w:r>
          </w:p>
        </w:tc>
        <w:tc>
          <w:tcPr>
            <w:tcW w:w="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29,019.8</w:t>
            </w:r>
          </w:p>
        </w:tc>
      </w:tr>
      <w:tr>
        <w:trPr>
          <w:trHeight w:val="18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484.4</w:t>
            </w:r>
          </w:p>
        </w:tc>
      </w:tr>
      <w:tr>
        <w:trPr>
          <w:trHeight w:val="160"/>
        </w:trPr>
        <w:tc>
          <w:tcPr>
            <w:tcW w:w="6760" w:type="dxa"/>
            <w:vAlign w:val="bottom"/>
          </w:tcPr>
          <w:p>
            <w:pPr>
              <w:ind w:left="20"/>
              <w:spacing w:after="0" w:line="160" w:lineRule="exact"/>
              <w:rPr>
                <w:sz w:val="20"/>
                <w:szCs w:val="20"/>
                <w:color w:val="auto"/>
              </w:rPr>
            </w:pPr>
            <w:r>
              <w:rPr>
                <w:rFonts w:ascii="Arial" w:cs="Arial" w:eastAsia="Arial" w:hAnsi="Arial"/>
                <w:sz w:val="14"/>
                <w:szCs w:val="14"/>
                <w:color w:val="auto"/>
              </w:rPr>
              <w:t>Operating expenses:</w:t>
            </w: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1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w:t>
            </w:r>
          </w:p>
        </w:tc>
      </w:tr>
      <w:tr>
        <w:trPr>
          <w:trHeight w:val="180"/>
        </w:trPr>
        <w:tc>
          <w:tcPr>
            <w:tcW w:w="676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157.1</w:t>
            </w:r>
          </w:p>
        </w:tc>
      </w:tr>
      <w:tr>
        <w:trPr>
          <w:trHeight w:val="18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 impairments</w:t>
            </w:r>
          </w:p>
        </w:tc>
        <w:tc>
          <w:tcPr>
            <w:tcW w:w="1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60" w:type="dxa"/>
            <w:vAlign w:val="bottom"/>
          </w:tcPr>
          <w:p>
            <w:pPr>
              <w:ind w:left="180"/>
              <w:spacing w:after="0"/>
              <w:rPr>
                <w:sz w:val="20"/>
                <w:szCs w:val="20"/>
                <w:color w:val="auto"/>
              </w:rPr>
            </w:pPr>
            <w:r>
              <w:rPr>
                <w:rFonts w:ascii="Arial" w:cs="Arial" w:eastAsia="Arial" w:hAnsi="Arial"/>
                <w:sz w:val="14"/>
                <w:szCs w:val="14"/>
                <w:color w:val="auto"/>
              </w:rPr>
              <w:t>Total operating expenses</w:t>
            </w:r>
          </w:p>
        </w:tc>
        <w:tc>
          <w:tcPr>
            <w:tcW w:w="1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404.3</w:t>
            </w: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390.3</w:t>
            </w:r>
          </w:p>
        </w:tc>
      </w:tr>
      <w:tr>
        <w:trPr>
          <w:trHeight w:val="18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160"/>
        </w:trPr>
        <w:tc>
          <w:tcPr>
            <w:tcW w:w="6760" w:type="dxa"/>
            <w:vAlign w:val="bottom"/>
          </w:tcPr>
          <w:p>
            <w:pPr>
              <w:ind w:left="20"/>
              <w:spacing w:after="0" w:line="160" w:lineRule="exact"/>
              <w:rPr>
                <w:sz w:val="20"/>
                <w:szCs w:val="20"/>
                <w:color w:val="auto"/>
              </w:rPr>
            </w:pPr>
            <w:r>
              <w:rPr>
                <w:rFonts w:ascii="Arial" w:cs="Arial" w:eastAsia="Arial" w:hAnsi="Arial"/>
                <w:sz w:val="14"/>
                <w:szCs w:val="14"/>
                <w:color w:val="auto"/>
              </w:rPr>
              <w:t>Non-operating income (expenses), net:</w:t>
            </w: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1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180"/>
        </w:trPr>
        <w:tc>
          <w:tcPr>
            <w:tcW w:w="676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71"/>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non-operating income (expense), net</w:t>
            </w:r>
          </w:p>
        </w:tc>
        <w:tc>
          <w:tcPr>
            <w:tcW w:w="1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76"/>
        </w:trPr>
        <w:tc>
          <w:tcPr>
            <w:tcW w:w="67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18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1"/>
        </w:trPr>
        <w:tc>
          <w:tcPr>
            <w:tcW w:w="6760" w:type="dxa"/>
            <w:vAlign w:val="bottom"/>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1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19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71"/>
        </w:trPr>
        <w:tc>
          <w:tcPr>
            <w:tcW w:w="6760" w:type="dxa"/>
            <w:vAlign w:val="bottom"/>
          </w:tcPr>
          <w:p>
            <w:pPr>
              <w:ind w:left="20"/>
              <w:spacing w:after="0"/>
              <w:rPr>
                <w:sz w:val="20"/>
                <w:szCs w:val="20"/>
                <w:color w:val="auto"/>
              </w:rPr>
            </w:pPr>
            <w:r>
              <w:rPr>
                <w:rFonts w:ascii="Arial" w:cs="Arial" w:eastAsia="Arial" w:hAnsi="Arial"/>
                <w:sz w:val="14"/>
                <w:szCs w:val="14"/>
                <w:color w:val="auto"/>
              </w:rPr>
              <w:t>Net income (loss) attributable to World Kinect</w:t>
            </w:r>
          </w:p>
        </w:tc>
        <w:tc>
          <w:tcPr>
            <w:tcW w:w="1420" w:type="dxa"/>
            <w:vAlign w:val="bottom"/>
            <w:tcBorders>
              <w:bottom w:val="single" w:sz="8" w:color="auto"/>
            </w:tcBorders>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r>
      <w:tr>
        <w:trPr>
          <w:trHeight w:val="71"/>
        </w:trPr>
        <w:tc>
          <w:tcPr>
            <w:tcW w:w="676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80"/>
        </w:trPr>
        <w:tc>
          <w:tcPr>
            <w:tcW w:w="67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Basic earnings (loss) per common share</w:t>
            </w:r>
          </w:p>
        </w:tc>
        <w:tc>
          <w:tcPr>
            <w:tcW w:w="1420" w:type="dxa"/>
            <w:vAlign w:val="bottom"/>
            <w:tcBorders>
              <w:top w:val="single" w:sz="8" w:color="CCEEFF"/>
            </w:tcBorders>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0.85</w:t>
            </w:r>
          </w:p>
        </w:tc>
        <w:tc>
          <w:tcPr>
            <w:tcW w:w="1540" w:type="dxa"/>
            <w:vAlign w:val="bottom"/>
            <w:tcBorders>
              <w:top w:val="single" w:sz="8" w:color="CCEEFF"/>
            </w:tcBorders>
            <w:gridSpan w:val="2"/>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0.81</w:t>
            </w:r>
          </w:p>
        </w:tc>
      </w:tr>
      <w:tr>
        <w:trPr>
          <w:trHeight w:val="71"/>
        </w:trPr>
        <w:tc>
          <w:tcPr>
            <w:tcW w:w="6760" w:type="dxa"/>
            <w:vAlign w:val="bottom"/>
            <w:tcBorders>
              <w:bottom w:val="single" w:sz="8" w:color="CCEEFF"/>
            </w:tcBorders>
          </w:tcPr>
          <w:p>
            <w:pPr>
              <w:spacing w:after="0"/>
              <w:rPr>
                <w:sz w:val="5"/>
                <w:szCs w:val="5"/>
                <w:color w:val="auto"/>
              </w:rPr>
            </w:pPr>
          </w:p>
        </w:tc>
        <w:tc>
          <w:tcPr>
            <w:tcW w:w="1420" w:type="dxa"/>
            <w:vAlign w:val="bottom"/>
            <w:tcBorders>
              <w:top w:val="single" w:sz="8" w:color="auto"/>
              <w:bottom w:val="single" w:sz="8" w:color="auto"/>
            </w:tcBorders>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20" w:type="dxa"/>
            <w:vAlign w:val="bottom"/>
            <w:tcBorders>
              <w:top w:val="single" w:sz="8" w:color="auto"/>
              <w:bottom w:val="single" w:sz="8" w:color="auto"/>
            </w:tcBorders>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r>
      <w:tr>
        <w:trPr>
          <w:trHeight w:val="191"/>
        </w:trPr>
        <w:tc>
          <w:tcPr>
            <w:tcW w:w="67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Diluted earnings (loss) per common share</w:t>
            </w:r>
          </w:p>
        </w:tc>
        <w:tc>
          <w:tcPr>
            <w:tcW w:w="1420" w:type="dxa"/>
            <w:vAlign w:val="bottom"/>
            <w:tcBorders>
              <w:top w:val="single" w:sz="8" w:color="CCEEFF"/>
            </w:tcBorders>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0.84</w:t>
            </w:r>
          </w:p>
        </w:tc>
        <w:tc>
          <w:tcPr>
            <w:tcW w:w="1540" w:type="dxa"/>
            <w:vAlign w:val="bottom"/>
            <w:tcBorders>
              <w:top w:val="single" w:sz="8" w:color="CCEEFF"/>
            </w:tcBorders>
            <w:gridSpan w:val="2"/>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0.80</w:t>
            </w:r>
          </w:p>
        </w:tc>
      </w:tr>
      <w:tr>
        <w:trPr>
          <w:trHeight w:val="20"/>
        </w:trPr>
        <w:tc>
          <w:tcPr>
            <w:tcW w:w="6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Our consolidated revenue for the six months ended June 30, 2023 was $23.5 billion, a decrease of $6.0 billion, or 20%, compared to the six months ended June 30, 2022,</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driven by lower prices across all segments, as discussed further below.</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Gross Profit. </w:t>
      </w:r>
      <w:r>
        <w:rPr>
          <w:rFonts w:ascii="Arial" w:cs="Arial" w:eastAsia="Arial" w:hAnsi="Arial"/>
          <w:sz w:val="14"/>
          <w:szCs w:val="14"/>
          <w:color w:val="auto"/>
        </w:rPr>
        <w:t>Our gross profit for the six months ended June 30, 2023 was $544.4 million, an increase of $60.1 million, or 12%, compared to the six months ended June 30, 2022,</w:t>
      </w:r>
      <w:r>
        <w:rPr>
          <w:rFonts w:ascii="Arial" w:cs="Arial" w:eastAsia="Arial" w:hAnsi="Arial"/>
          <w:sz w:val="14"/>
          <w:szCs w:val="14"/>
          <w:i w:val="1"/>
          <w:iCs w:val="1"/>
          <w:color w:val="auto"/>
        </w:rPr>
        <w:t xml:space="preserve"> </w:t>
      </w:r>
      <w:r>
        <w:rPr>
          <w:rFonts w:ascii="Arial" w:cs="Arial" w:eastAsia="Arial" w:hAnsi="Arial"/>
          <w:sz w:val="14"/>
          <w:szCs w:val="14"/>
          <w:color w:val="auto"/>
        </w:rPr>
        <w:t>attributable to increased gross profit of $111.8 million in our aviation segment, partially offset by decreased gross profit of $31.1 million and $20.6 million in our marine and land segments, respectively, as discussed further below.</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Operating Expenses. </w:t>
      </w:r>
      <w:r>
        <w:rPr>
          <w:rFonts w:ascii="Arial" w:cs="Arial" w:eastAsia="Arial" w:hAnsi="Arial"/>
          <w:sz w:val="14"/>
          <w:szCs w:val="14"/>
          <w:color w:val="auto"/>
        </w:rPr>
        <w:t>Total operating expenses for the six months ended June 30, 2023 were $404.3 million, an increase of $14.1 million, or 4%, compared to the six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2022. The increase in operating expenses was primarily driven by higher compensation costs and general and administrative costs as business activities continued to normalize.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4"/>
          <w:szCs w:val="14"/>
          <w:i w:val="1"/>
          <w:iCs w:val="1"/>
          <w:color w:val="auto"/>
        </w:rPr>
        <w:t xml:space="preserve">Non-Operating Income (Expense), net. </w:t>
      </w:r>
      <w:r>
        <w:rPr>
          <w:rFonts w:ascii="Arial" w:cs="Arial" w:eastAsia="Arial" w:hAnsi="Arial"/>
          <w:sz w:val="14"/>
          <w:szCs w:val="14"/>
          <w:color w:val="auto"/>
        </w:rPr>
        <w:t>For the six months ended June 30, 2023, we had net non-operating expense of $73.1 million compared to net non-operating expense of</w:t>
      </w:r>
      <w:r>
        <w:rPr>
          <w:rFonts w:ascii="Arial" w:cs="Arial" w:eastAsia="Arial" w:hAnsi="Arial"/>
          <w:sz w:val="14"/>
          <w:szCs w:val="14"/>
          <w:i w:val="1"/>
          <w:iCs w:val="1"/>
          <w:color w:val="auto"/>
        </w:rPr>
        <w:t xml:space="preserve"> </w:t>
      </w:r>
      <w:r>
        <w:rPr>
          <w:rFonts w:ascii="Arial" w:cs="Arial" w:eastAsia="Arial" w:hAnsi="Arial"/>
          <w:sz w:val="14"/>
          <w:szCs w:val="14"/>
          <w:color w:val="auto"/>
        </w:rPr>
        <w:t>$39.2 million the six months ended June 30, 2022. The increase of $33.9 million was primarily attributable to an increase in interest expense as well as foreign currency losses. The increase in interest expense was primarily driven by higher interest rates and an increase in fees associated with sales of accounts receivable under our RPAs.</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For the six months ended June 30, 2023, we recognized income tax expense of $14.0 million, compared to $3.8 million for the six months ended June 30, 2022.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of $10.1 million was primarily attributable to differences in net discrete tax items and an overall increase in pre-tax income. See Note 8. Income Taxes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Aviation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the aviation segment results of operations for the periods indicated (in millions, except price per gallon):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b w:val="1"/>
                <w:bCs w:val="1"/>
                <w:color w:val="auto"/>
              </w:rPr>
              <w:t>For the Six Months Ended June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420" w:type="dxa"/>
            <w:vAlign w:val="bottom"/>
          </w:tcPr>
          <w:p>
            <w:pPr>
              <w:jc w:val="right"/>
              <w:ind w:right="89"/>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54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20" w:type="dxa"/>
            <w:vAlign w:val="bottom"/>
            <w:tcBorders>
              <w:top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11,417.2</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12,854.0</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(1,436.8)</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2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1540" w:type="dxa"/>
            <w:vAlign w:val="bottom"/>
            <w:gridSpan w:val="2"/>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2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540" w:type="dxa"/>
            <w:vAlign w:val="bottom"/>
            <w:gridSpan w:val="2"/>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2"/>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metrics:</w:t>
            </w:r>
          </w:p>
        </w:tc>
        <w:tc>
          <w:tcPr>
            <w:tcW w:w="1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Aviation segment volumes (gallons)</w:t>
            </w:r>
          </w:p>
        </w:tc>
        <w:tc>
          <w:tcPr>
            <w:tcW w:w="1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3,623.7</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3,486.6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 average price per gallon</w:t>
            </w:r>
          </w:p>
        </w:tc>
        <w:tc>
          <w:tcPr>
            <w:tcW w:w="142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540" w:type="dxa"/>
            <w:vAlign w:val="bottom"/>
            <w:gridSpan w:val="2"/>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Revenues in our aviation segment were $11.4 billion for the six months ended June 30, 2023, a decrease of $1.4 billion, or 11%, compared to the six months ended June 30, 2022. The decrease in revenue was driven by lower average prices, partially offset by increased volume. Average jet fuel price per gallon sold decreased by 18% in the six months ended June 30, 2023 compared to the six months ended June 30, 2022. Total aviation volumes increased by 137.1 million gallons, or 4%, to 3.6 billion gallons, driven largely by growth in international passenger airline demand.</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aviation segment gross profit for the six months ended June 30, 2023 was $228.8 million, an increase of $111.8 million, or 96%, compared to the six months ended June 30, 2022. The increase in gross profit during the six months ended June 30, 2023 as compared to the prior period was primarily attributable to the impact of significant inventory losses arising from the extreme backwardation and price volatility experienced during the six months ended June 30, 2022. Gross profit also benefited from higher margins driven by our focus on maintaining returns in a higher interest rate environment as well as growth in related service offerings.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Income from operations in our aviation segment for the six months ended June 30, 2023 was $92.1 million, an increase of $91.5 million compared to the six months ended June 30, 2022. The increase in gross profit discussed above was partially offset by a $20.3 million increase in operating expenses primarily driven by higher incentive compensation costs in connection with improved financial performance.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Land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the land segment results of operations for the periods indicated (in millions, except price per gallon):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For the Six Months Ended 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5"/>
                <w:szCs w:val="15"/>
                <w:color w:val="auto"/>
              </w:rPr>
            </w:pPr>
          </w:p>
        </w:tc>
        <w:tc>
          <w:tcPr>
            <w:tcW w:w="15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7,533.5</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9,812.6</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(2,279.1)</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
        </w:trPr>
        <w:tc>
          <w:tcPr>
            <w:tcW w:w="47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metrics: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Land segment volumes (gallons) </w:t>
            </w:r>
            <w:r>
              <w:rPr>
                <w:rFonts w:ascii="Arial" w:cs="Arial" w:eastAsia="Arial" w:hAnsi="Arial"/>
                <w:sz w:val="18"/>
                <w:szCs w:val="18"/>
                <w:color w:val="auto"/>
                <w:vertAlign w:val="superscript"/>
              </w:rPr>
              <w:t>(1)</w:t>
            </w:r>
          </w:p>
        </w:tc>
        <w:tc>
          <w:tcPr>
            <w:tcW w:w="1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3,072.3</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3,114.3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segment average price per gallon</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gallons and gallon equivalents of British Thermal Units (BTU) for our natural gas sales and Kilowatt Hours (kWh) for our power business.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Revenues in our land segment were $7.5 billion for the six months ended June 30, 2023, a decrease of $2.3 billion, or 23%, compared to the six months ended June 30, 2022. The decrease in revenue was principally driven by lower average fuel prices combined with lower volumes. Average fuel prices decreased 22% for the six months ended June 30, 2023 compared to the six months ended June 30, 2022. Total volumes decreased by 42.0 million, or 1%, to 3.1 billion gallons or gallon equivalents in the six months ended June 30, 2023 compared to the six months ended June 30, 2022 driven by lower activity in our liquid fuel business in North America, partially offset by increased activity in our natural gas and power business.</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land segment gross profit for the six months ended June 30, 2023 was $221.6 million, a decrease of $20.6 million, or 8%, compared to the six months ended June 30, 2022. The decrease in gross profit was primarily attributable to extreme weather conditions experienced in our liquid fuel business in North America as well as lower profitability from our U.K. business, which benefited from significant price volatility in the first half of 2022. This decrease was partially offset by improved performance in our natural gas, power and sustainability-related offerings.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our land segment, income from operations for the six months ended June 30, 2023 was $50.8 million, a decrease of $15.5 million, or 23%, compared to the six months ended June 30, 2022. The decrease in gross profit discussed above was partially offset by a decrease in operating expenses principally related to lower general and administrative costs.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Marine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provides a summary of the marine segment results of operations for the periods indicated (in millions, except price per metric ton):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For the Six Months Ended 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5"/>
                <w:szCs w:val="15"/>
                <w:color w:val="auto"/>
              </w:rPr>
            </w:pPr>
          </w:p>
        </w:tc>
        <w:tc>
          <w:tcPr>
            <w:tcW w:w="15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4,511.6</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6,837.5</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(2,325.9)</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2"/>
        </w:trPr>
        <w:tc>
          <w:tcPr>
            <w:tcW w:w="47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Operational metrics: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Marine segment volumes (metric tons)</w:t>
            </w:r>
          </w:p>
        </w:tc>
        <w:tc>
          <w:tcPr>
            <w:tcW w:w="1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Marine segment average price per metric ton</w:t>
            </w:r>
          </w:p>
        </w:tc>
        <w:tc>
          <w:tcPr>
            <w:tcW w:w="146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531.45</w:t>
            </w:r>
          </w:p>
        </w:tc>
        <w:tc>
          <w:tcPr>
            <w:tcW w:w="1580" w:type="dxa"/>
            <w:vAlign w:val="bottom"/>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714.46</w:t>
            </w:r>
          </w:p>
        </w:tc>
        <w:tc>
          <w:tcPr>
            <w:tcW w:w="5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Revenues in our marine segment were $4.5 billion for the six months ended June 30, 2023, a decrease of $ 2.3 billion, or 34%, compared to the six months ended June 30, 2022. The decrease in revenue was principally driven by a decrease of 26% in the average price per metric ton of bunker fuel sold in the six months ended June 30, 2023 compared to the six months ended June 30, 2022. Total volumes decreased by 1.1 million metric tons, or 11%,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8.5 million metric tons in the six months ended June 30, 2023 compared to the six months ended June 30, 2022 primarily due to reduced demand in our resale businesses.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marine segment gross profit for the six months ended June 30, 2023 was $94.0 million, a decrease of $31.1 million, or 25%, compared to the six months ended June 30, 2022 principally driven by increased competition resulting from lower bunker fuel prices, together with softening demand driven by changes in the global macroeconomic environment.</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marine segment income from operations for the six months ended June 30, 2023 was $50.6 million, a decrease of $25.3 million, or 33%, compared to the six months ended June 30, 2022, primarily due to the decrease in gross profit as well as a $5.9 million decrease in operating expenses, largely driven by lower incentive compensation costs compared to the three months ended June 30, 2022.</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Liquidity to fund working capital, as well as make strategic investments to further our growth strategy,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Sources of Liquidity and Factors Impacting Our Liquidity</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liquidity, consisting principally of cash and availability under our Credit Facility, fluctuates based on a number of factors, including the timing of receipts from our customers and payments to our suppliers, changes in fuel prices, as well as our financial performance.</w:t>
      </w:r>
    </w:p>
    <w:p>
      <w:pPr>
        <w:spacing w:after="0" w:line="5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Based on the information currently available, we believe that our cash and cash equivalents as of June 30, 2023 and available funds from our Credit Facility, as described below, together with cash flows generated by operations, are sufficient to fund our working capital and capital expenditure requirements for at least the next twelve months.</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 xml:space="preserve">Convertible Notes. </w:t>
      </w:r>
      <w:r>
        <w:rPr>
          <w:rFonts w:ascii="Arial" w:cs="Arial" w:eastAsia="Arial" w:hAnsi="Arial"/>
          <w:sz w:val="14"/>
          <w:szCs w:val="14"/>
          <w:color w:val="auto"/>
        </w:rPr>
        <w:t>On June 26, 2023, we issued $350.0 million aggregate principal amount of 3.250% Convertible Senior Notes due 2028 (the "Convertible Notes"), which reflects</w:t>
      </w:r>
      <w:r>
        <w:rPr>
          <w:rFonts w:ascii="Arial" w:cs="Arial" w:eastAsia="Arial" w:hAnsi="Arial"/>
          <w:sz w:val="14"/>
          <w:szCs w:val="14"/>
          <w:i w:val="1"/>
          <w:iCs w:val="1"/>
          <w:color w:val="auto"/>
        </w:rPr>
        <w:t xml:space="preserve"> </w:t>
      </w:r>
      <w:r>
        <w:rPr>
          <w:rFonts w:ascii="Arial" w:cs="Arial" w:eastAsia="Arial" w:hAnsi="Arial"/>
          <w:sz w:val="14"/>
          <w:szCs w:val="14"/>
          <w:color w:val="auto"/>
        </w:rPr>
        <w:t>the exercise in full of an option to purchase up to an additional $50.0 million in principal amount of the Convertible Notes. The Convertible Notes mature on July 1, 2028, unless earlier converted, redeemed or repurchased. 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will be subject to adjustment upon the occurrence of certain events but will not be adjusted for 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pricing of the Convertible Notes, we entered into convertible note hedge transactions and warrant transactions. The cost of the convertible note hedge transactions was approximately $70.5 million. The convertible note hedge transactions cover, subject to customary anti-dilution adjustments, the number of shares of common stock that initially underlie the Convertible Notes, and have an initial strike price equal to the initial conversion price of the Convertible Notes. Separately, we received $40.0 million of proceeds from the sale of warrants to acquire, subject to anti-dilution adjustments, the same amount of shares at an initial strike price of $40.14 per share. As a result, dilution upon conversion of the Convertible Notes will be mitigated as the bond hedge and warrant transactions increase the effective conversion price of the Convertible Notes to $40.14 per share.</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net proceeds from the sale of the Convertible Notes was approximately $ 337.5 million after deducting the initial purchasers’ discounts and estimated offering expenses payable by us. We used the net proceeds from the sale of the Convertible Notes (i) to pay the cost of the convertible note hedge transactions net of the proceeds from the sale of the warrants), (ii) to repurchase approximately 2.24 million shares of common stock from purchasers of the Convertible Notes for an aggregate purchase price of approximately $50.0 million and (iii) to repay the amounts outstanding under our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See Note 6. Debt, Interest Income, Expense, and Other Finance Costs for additional information.</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Credit Agreement. </w:t>
      </w:r>
      <w:r>
        <w:rPr>
          <w:rFonts w:ascii="Arial" w:cs="Arial" w:eastAsia="Arial" w:hAnsi="Arial"/>
          <w:sz w:val="14"/>
          <w:szCs w:val="14"/>
          <w:color w:val="auto"/>
        </w:rPr>
        <w:t>The Fourth Amended and Restated Credit Agreement (as amended, the "Credit Agreement"), matures in April 2027 and provides for a term loan as well as a</w:t>
      </w:r>
      <w:r>
        <w:rPr>
          <w:rFonts w:ascii="Arial" w:cs="Arial" w:eastAsia="Arial" w:hAnsi="Arial"/>
          <w:sz w:val="14"/>
          <w:szCs w:val="14"/>
          <w:i w:val="1"/>
          <w:iCs w:val="1"/>
          <w:color w:val="auto"/>
        </w:rPr>
        <w:t xml:space="preserve"> </w:t>
      </w:r>
      <w:r>
        <w:rPr>
          <w:rFonts w:ascii="Arial" w:cs="Arial" w:eastAsia="Arial" w:hAnsi="Arial"/>
          <w:sz w:val="14"/>
          <w:szCs w:val="14"/>
          <w:color w:val="auto"/>
        </w:rPr>
        <w:t>revolving credit facility of $1.5 billion (the "Credit Facility"). Our availability under the Credit Facility is limited by, among other things, our consolidated total leverage ratio, which is defined in the Credit Agreement and is based, in part, on our consolidated earnings before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3" w:name="page34"/>
    <w:bookmarkEnd w:id="33"/>
    <w:p>
      <w:pPr>
        <w:jc w:val="both"/>
        <w:spacing w:after="0" w:line="281" w:lineRule="auto"/>
        <w:rPr>
          <w:sz w:val="20"/>
          <w:szCs w:val="20"/>
          <w:color w:val="auto"/>
        </w:rPr>
      </w:pPr>
      <w:r>
        <w:rPr>
          <w:rFonts w:ascii="Arial" w:cs="Arial" w:eastAsia="Arial" w:hAnsi="Arial"/>
          <w:sz w:val="14"/>
          <w:szCs w:val="14"/>
          <w:color w:val="auto"/>
        </w:rPr>
        <w:t>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6. Debt, Interest Income, Expense, and Other Finance Costs for additional information.</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 xml:space="preserve">Receivables Purchase Agreements. </w:t>
      </w:r>
      <w:r>
        <w:rPr>
          <w:rFonts w:ascii="Arial" w:cs="Arial" w:eastAsia="Arial" w:hAnsi="Arial"/>
          <w:sz w:val="14"/>
          <w:szCs w:val="14"/>
          <w:color w:val="auto"/>
        </w:rPr>
        <w:t>We also have accounts receivable programs under RPAs that allow us to sell a specified amount of qualifying accounts receivable and receive</w:t>
      </w:r>
      <w:r>
        <w:rPr>
          <w:rFonts w:ascii="Arial" w:cs="Arial" w:eastAsia="Arial" w:hAnsi="Arial"/>
          <w:sz w:val="14"/>
          <w:szCs w:val="14"/>
          <w:i w:val="1"/>
          <w:iCs w:val="1"/>
          <w:color w:val="auto"/>
        </w:rPr>
        <w:t xml:space="preserve"> </w:t>
      </w:r>
      <w:r>
        <w:rPr>
          <w:rFonts w:ascii="Arial" w:cs="Arial" w:eastAsia="Arial" w:hAnsi="Arial"/>
          <w:sz w:val="14"/>
          <w:szCs w:val="14"/>
          <w:color w:val="auto"/>
        </w:rPr>
        <w:t>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During the second quarter of 2023, we amended one of our RPAs to, among other things, reduce the overall fee structure. See Note 2. Accounts Receivable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Flows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reflects the major categories of cash flows for the six months ended June 30, 2023 and 2022 (in millions). For additional details, please see the unaudited Condensed Consolidated Statements of Cash Flows in this Quarterly Report on Form 10-Q.</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402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4"/>
                <w:szCs w:val="14"/>
                <w:b w:val="1"/>
                <w:bCs w:val="1"/>
                <w:color w:val="auto"/>
              </w:rPr>
              <w:t>For the Six Months Ended June 30,</w:t>
            </w:r>
          </w:p>
        </w:tc>
        <w:tc>
          <w:tcPr>
            <w:tcW w:w="740" w:type="dxa"/>
            <w:vAlign w:val="bottom"/>
            <w:tcBorders>
              <w:bottom w:val="single" w:sz="8" w:color="auto"/>
            </w:tcBorders>
          </w:tcPr>
          <w:p>
            <w:pPr>
              <w:spacing w:after="0"/>
              <w:rPr>
                <w:sz w:val="16"/>
                <w:szCs w:val="16"/>
                <w:color w:val="auto"/>
              </w:rPr>
            </w:pPr>
          </w:p>
        </w:tc>
      </w:tr>
      <w:tr>
        <w:trPr>
          <w:trHeight w:val="182"/>
        </w:trPr>
        <w:tc>
          <w:tcPr>
            <w:tcW w:w="6520" w:type="dxa"/>
            <w:vAlign w:val="bottom"/>
          </w:tcPr>
          <w:p>
            <w:pPr>
              <w:spacing w:after="0"/>
              <w:rPr>
                <w:sz w:val="15"/>
                <w:szCs w:val="15"/>
                <w:color w:val="auto"/>
              </w:rPr>
            </w:pPr>
          </w:p>
        </w:tc>
        <w:tc>
          <w:tcPr>
            <w:tcW w:w="1580" w:type="dxa"/>
            <w:vAlign w:val="bottom"/>
          </w:tcPr>
          <w:p>
            <w:pPr>
              <w:jc w:val="right"/>
              <w:ind w:right="189"/>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5"/>
                <w:szCs w:val="15"/>
                <w:color w:val="auto"/>
              </w:rPr>
            </w:pPr>
          </w:p>
        </w:tc>
        <w:tc>
          <w:tcPr>
            <w:tcW w:w="172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740" w:type="dxa"/>
            <w:vAlign w:val="bottom"/>
          </w:tcPr>
          <w:p>
            <w:pPr>
              <w:spacing w:after="0"/>
              <w:rPr>
                <w:sz w:val="15"/>
                <w:szCs w:val="15"/>
                <w:color w:val="auto"/>
              </w:rPr>
            </w:pPr>
          </w:p>
        </w:tc>
      </w:tr>
      <w:tr>
        <w:trPr>
          <w:trHeight w:val="171"/>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580" w:type="dxa"/>
            <w:vAlign w:val="bottom"/>
            <w:tcBorders>
              <w:top w:val="single" w:sz="8" w:color="auto"/>
            </w:tcBorders>
            <w:shd w:val="clear" w:color="auto" w:fill="CCEEFF"/>
          </w:tcPr>
          <w:p>
            <w:pPr>
              <w:jc w:val="right"/>
              <w:ind w:right="140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4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ind w:right="140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0"/>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(56.1)</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(678.5)</w:t>
            </w:r>
          </w:p>
        </w:tc>
      </w:tr>
      <w:tr>
        <w:trPr>
          <w:trHeight w:val="19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5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w:t>
            </w:r>
          </w:p>
        </w:tc>
      </w:tr>
    </w:tbl>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For the six months ended June 30, 2023, net cash provided by operating activities was $186.5 million, compared to $29.2 million net cash used during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2022. The $215.6 million increase in operating cash flows was principally due to lower average fuel prices compared to the prior year, which reduced our cost of inventory and decreased both our accounts receivable and accounts payable (net of activity under our RPA programs, as discussed under "Sources of Liquidity and Factors Impacting Our Liquidity" above). These increases were offset by a decrease in customer prepayments and cash used in our derivative activities, as well as a decrease in our net income (see "Results of Operations" for further details of the drivers impacting our net income) adjusted for noncash items.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 xml:space="preserve">Investing Activities. </w:t>
      </w:r>
      <w:r>
        <w:rPr>
          <w:rFonts w:ascii="Arial" w:cs="Arial" w:eastAsia="Arial" w:hAnsi="Arial"/>
          <w:sz w:val="14"/>
          <w:szCs w:val="14"/>
          <w:color w:val="auto"/>
        </w:rPr>
        <w:t>For the six months ended June 30, 2023, net cash used in investing activities was $56.1 million, compared to net cash used of $678.5 million during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2022. The net cash used in investing activities for the six months ended June 30, 2023 was primarily driven by capital expenditures of $46.5 million. Net cash used in investing activities for the six months ended June 30, 2022 was principally driven by $639.4 million net cash paid for the acquisition of Flyers, as discussed in Note 3. Acquisitions, and $37.7 million for capital expenditures.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For the six months ended June 30, 2023, net cash used in financing activities was $129.3 million compared to net cash provided of $451.0 million for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2022. The net cash used in financing activities for the six months ended June 30, 2023 was primarily attributable to net borrowings of $39.9 million, driven by $350.0 million proceeds from the issuance of the Convertible Notes and $40.3 million proceeds from secured borrowings associated with the transfer of transaction taxes, as discussed in Note 6. Debt, Interest Income, Expense, and Other Finance Costs, partially offset by $348.4 million of net repayments under our Credit Facility. In connection with the issuance of the Convertible Notes, we paid $70.5 million for the purchase of the convertible note hedges and $10.5 million for debt issuance costs, and received $40.0 million from the sale of warrants. In addition, net cash used in financing activities includes payments of deferred consideration related to prior acquisitions of $62.8 million, repurchases of common stock of $50.0 million, and dividend payments of $17.3 million. Net cash provided by financing activities for the six months ended June 30, 2022 was primarily attributable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4" w:name="page35"/>
    <w:bookmarkEnd w:id="34"/>
    <w:p>
      <w:pPr>
        <w:jc w:val="both"/>
        <w:spacing w:after="0" w:line="267" w:lineRule="auto"/>
        <w:rPr>
          <w:sz w:val="20"/>
          <w:szCs w:val="20"/>
          <w:color w:val="auto"/>
        </w:rPr>
      </w:pPr>
      <w:r>
        <w:rPr>
          <w:rFonts w:ascii="Arial" w:cs="Arial" w:eastAsia="Arial" w:hAnsi="Arial"/>
          <w:sz w:val="14"/>
          <w:szCs w:val="14"/>
          <w:color w:val="auto"/>
        </w:rPr>
        <w:t>to net borrowings under our Credit Facility of $528.0 million, primarily driven by incremental borrowings related to the acquisition of Flyers and increased working capital requirements, partially offset by $48.7 million in purchases of our common stock, payments for deferred consideration related to prior acquisitions of $10.0 million, and dividend payments of $15.0 million.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Future Uses of Liquidity</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Cash is primarily used to fund working capital to support our operations as well as for strategic acquisitions and investments. There were no material changes in our expected future uses of liquidity from December 31, 2022 to June 30, 2023. For a discussion of these matters, refer to "Liquidity and Capital Resources" under Part II, Item 7 – Management's Discussion and Analysis of Financial Condition and Results of Operations of our 2022 10-K Report.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unaudited Condensed Consolidated Financial Statements are prepared in accordance with accounting principles generally accepted in the United States of America. The significant accounting policies used are disclosed in Item 15 – Financial Statement Schedules, Note 1. Basis of Presentation, New Accounting Standards and Significant Accounting Policies to the Consolidated Financial Statements in our 2022 10-K report.</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make estimates and assumptions that affect the reported amounts on our unaudited Condensed Consolidated Financial Statements and accompanying Notes as of the date of the unaudited Condensed Consolidated Financial Statements. With the exception of additional considerations in relation to the Convertible Notes discussed below, there have been no material changes to the Critical Accounting Estimates disclosed in our 2022 10-K report.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Impairment Assessments of Goodwill, Long-Lived Assets, and Equity Investments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assess accounting estimates that require consideration of forecasted financial information. Significant judgment is involved in performing these estimates as they are developed based on forecasted assumptions. As of June 30, 2023, the assumptions used in these assessments, particularly the expected growth rates, the profitability embedded in the projected cash flows provided by our legacy and newly acquired businesses, the discount rate and the market-based multiples, were defined based on available information considering current market volatility and geopolitical risks. Management also considered the volatility in the Company's market capitalization and evaluated the potential impact that this volatility may have on the estimated fair value of our reporting units.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Based on the assessments performed, and supported by the available information as of June 30, 2023, we concluded that the carrying value of our long-lived assets and equity investments were recoverable and that the fair value of our land and aviation reporting units were not less than their respective carrying values. If our results differ significantly from our assumptions, such impact could potentially result in impairments.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Derivatives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assess convertible notes and other related contracts to determine if those contracts or embedded components of those contracts meet the definition of a derivative that require separate accounting. Significant judgment is involved in assessing if the contracts are indexed to our own stock and if the contracts shall be classified as equity in our statement of financial position. If those contracts are derivatives or contain embedded derivatives, they would be classified as a liability and remeasured to fair value through net income impacting future earnings.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have been no material changes to our exposures to commodity price, interest rate, or foreign currency risk since December 31, 2022. Please refer to our 2022 10-K Report for a complete discussion of our exposure to these risks.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about our derivative instruments at their respective fair value positions as of June 30, 2023, see Note 4. Derivative Instruments.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5" w:name="page36"/>
    <w:bookmarkEnd w:id="35"/>
    <w:p>
      <w:pPr>
        <w:spacing w:after="0"/>
        <w:tabs>
          <w:tab w:leader="none" w:pos="600" w:val="left"/>
        </w:tabs>
        <w:rPr>
          <w:sz w:val="20"/>
          <w:szCs w:val="20"/>
          <w:color w:val="auto"/>
        </w:rPr>
      </w:pPr>
      <w:r>
        <w:rPr>
          <w:rFonts w:ascii="Arial" w:cs="Arial" w:eastAsia="Arial" w:hAnsi="Arial"/>
          <w:sz w:val="14"/>
          <w:szCs w:val="14"/>
          <w:b w:val="1"/>
          <w:bCs w:val="1"/>
          <w:color w:val="auto"/>
        </w:rPr>
        <w:t>Item 4.</w:t>
        <w:tab/>
        <w:t>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Evaluation of Disclosure Controls and Procedures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2023.</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There were no changes in our internal control over financial reporting that materially affected, or are reasonably likely to materially affect, our internal control over financial reporting during the three months ended June 30, 2023.</w:t>
      </w:r>
    </w:p>
    <w:p>
      <w:pPr>
        <w:spacing w:after="0" w:line="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Part II — Other Information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w:t>
        <w:tab/>
        <w:t>Legal Proceedings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 8. Income Taxes and Note 9. Commitments and Contingencies within this 10-Q Report as well as Notes 10. Income Taxes and 11. Commitments and Contingencies within Part IV. Item 15 – Notes to the Consolidated Financial Statements in our 2022 10-K Report for additional details regarding certain tax matters.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9. Commitments and Contingencies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risk factors set forth below supplement the risk factors previously disclosed under Part I, Item 1A – Risk Factors of our 2022 10-K Report.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counterparty risk with respect to the bond hedge transactions which serve to mitigate the dilutive impact of our Convertible Notes.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connection with our offering of Convertible Notes in June 2023, we entered into bond hedge transactions with multiple financial institutions, which increased the effective conversion price of the Convertible Notes to approximately $40.14 (from the nominal conversion price of $28.43). Consequently, the bond hedge transaction is expected to reduce the potential dilution upon conversion of the Convertible Notes and/or offset any cash payments we are required to make in excess of the principal amount of the Convertible Notes upon their conversion. We also entered into warrant transactions with the bond hedge counterparties, which could have a dilutive effect on our common stock to the extent that the market price per share of our common stock exceeds the strike price of the warrants.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exposure to the credit risk of the bond hedge counterparties is not secured by any collateral. Global economic conditions have, from time-to-time, resulted in the actual or perceived failure or financial difficulties of several financial institutions. If any bond hedge counterparty becomes subject to insolvency proceedings, we would become an unsecured creditor in those proceedings with a claim equal to our exposure at that time under the bond hedge transaction. If any of these counterparties were to fail to comply with their contractual obligations under bond hedge transactions, we would (i) be exposed to greater dilution with respect to their respective portion of the hedge, to the extent that our stock price exceeded the nominal conversion price upon conversion, (ii) may suffer adverse tax consequences, or (iii) incur additional costs associated with entering into a replacement bond hedge transaction with a different bond hedge counterparty.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6" w:right="319" w:bottom="1440" w:gutter="0" w:footer="0" w:header="0"/>
        </w:sectPr>
      </w:pPr>
    </w:p>
    <w:bookmarkStart w:id="37" w:name="page38"/>
    <w:bookmarkEnd w:id="37"/>
    <w:p>
      <w:pPr>
        <w:spacing w:after="0"/>
        <w:tabs>
          <w:tab w:leader="none" w:pos="62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following table presents information with respect to repurchases of common stock made by us during the periods presented (in thousands, except average price paid per share):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left="289"/>
              <w:spacing w:after="0"/>
              <w:rPr>
                <w:sz w:val="20"/>
                <w:szCs w:val="20"/>
                <w:color w:val="auto"/>
              </w:rPr>
            </w:pPr>
            <w:r>
              <w:rPr>
                <w:rFonts w:ascii="Arial" w:cs="Arial" w:eastAsia="Arial" w:hAnsi="Arial"/>
                <w:sz w:val="14"/>
                <w:szCs w:val="14"/>
                <w:b w:val="1"/>
                <w:bCs w:val="1"/>
                <w:color w:val="auto"/>
                <w:w w:val="99"/>
              </w:rPr>
              <w:t>Total Number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Pr>
          <w:p>
            <w:pPr>
              <w:jc w:val="center"/>
              <w:ind w:right="229"/>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40" w:type="dxa"/>
            <w:vAlign w:val="bottom"/>
          </w:tcPr>
          <w:p>
            <w:pPr>
              <w:spacing w:after="0"/>
              <w:rPr>
                <w:sz w:val="12"/>
                <w:szCs w:val="12"/>
                <w:color w:val="auto"/>
              </w:rPr>
            </w:pPr>
          </w:p>
        </w:tc>
        <w:tc>
          <w:tcPr>
            <w:tcW w:w="1360" w:type="dxa"/>
            <w:vAlign w:val="bottom"/>
            <w:vMerge w:val="restart"/>
          </w:tcPr>
          <w:p>
            <w:pPr>
              <w:jc w:val="center"/>
              <w:ind w:left="389"/>
              <w:spacing w:after="0"/>
              <w:rPr>
                <w:sz w:val="20"/>
                <w:szCs w:val="20"/>
                <w:color w:val="auto"/>
              </w:rPr>
            </w:pPr>
            <w:r>
              <w:rPr>
                <w:rFonts w:ascii="Arial" w:cs="Arial" w:eastAsia="Arial" w:hAnsi="Arial"/>
                <w:sz w:val="14"/>
                <w:szCs w:val="14"/>
                <w:b w:val="1"/>
                <w:bCs w:val="1"/>
                <w:color w:val="auto"/>
                <w:w w:val="97"/>
              </w:rPr>
              <w:t>Average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jc w:val="center"/>
              <w:ind w:left="269"/>
              <w:spacing w:after="0" w:line="141" w:lineRule="exact"/>
              <w:rPr>
                <w:sz w:val="20"/>
                <w:szCs w:val="20"/>
                <w:color w:val="auto"/>
              </w:rPr>
            </w:pPr>
            <w:r>
              <w:rPr>
                <w:rFonts w:ascii="Arial" w:cs="Arial" w:eastAsia="Arial" w:hAnsi="Arial"/>
                <w:sz w:val="14"/>
                <w:szCs w:val="14"/>
                <w:b w:val="1"/>
                <w:bCs w:val="1"/>
                <w:color w:val="auto"/>
              </w:rPr>
              <w:t>of Shares Purchased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jc w:val="center"/>
              <w:ind w:right="249"/>
              <w:spacing w:after="0" w:line="141"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jc w:val="center"/>
              <w:ind w:left="269"/>
              <w:spacing w:after="0" w:line="146" w:lineRule="exact"/>
              <w:rPr>
                <w:sz w:val="20"/>
                <w:szCs w:val="20"/>
                <w:color w:val="auto"/>
              </w:rPr>
            </w:pPr>
            <w:r>
              <w:rPr>
                <w:rFonts w:ascii="Arial" w:cs="Arial" w:eastAsia="Arial" w:hAnsi="Arial"/>
                <w:sz w:val="14"/>
                <w:szCs w:val="14"/>
                <w:b w:val="1"/>
                <w:bCs w:val="1"/>
                <w:color w:val="auto"/>
              </w:rPr>
              <w:t>as Part of Publicly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jc w:val="center"/>
              <w:ind w:right="249"/>
              <w:spacing w:after="0" w:line="146"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8"/>
        </w:trPr>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1"/>
                <w:szCs w:val="11"/>
                <w:color w:val="auto"/>
              </w:rPr>
            </w:pPr>
          </w:p>
        </w:tc>
        <w:tc>
          <w:tcPr>
            <w:tcW w:w="168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1"/>
                <w:szCs w:val="11"/>
                <w:color w:val="auto"/>
              </w:rPr>
            </w:pPr>
          </w:p>
        </w:tc>
        <w:tc>
          <w:tcPr>
            <w:tcW w:w="1360" w:type="dxa"/>
            <w:vAlign w:val="bottom"/>
          </w:tcPr>
          <w:p>
            <w:pPr>
              <w:jc w:val="center"/>
              <w:ind w:left="369"/>
              <w:spacing w:after="0" w:line="138" w:lineRule="exact"/>
              <w:rPr>
                <w:sz w:val="20"/>
                <w:szCs w:val="20"/>
                <w:color w:val="auto"/>
              </w:rPr>
            </w:pPr>
            <w:r>
              <w:rPr>
                <w:rFonts w:ascii="Arial" w:cs="Arial" w:eastAsia="Arial" w:hAnsi="Arial"/>
                <w:sz w:val="14"/>
                <w:szCs w:val="14"/>
                <w:b w:val="1"/>
                <w:bCs w:val="1"/>
                <w:color w:val="auto"/>
              </w:rPr>
              <w:t>Price Paid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Pr>
          <w:p>
            <w:pPr>
              <w:jc w:val="center"/>
              <w:ind w:left="269"/>
              <w:spacing w:after="0" w:line="138" w:lineRule="exact"/>
              <w:rPr>
                <w:sz w:val="20"/>
                <w:szCs w:val="20"/>
                <w:color w:val="auto"/>
              </w:rPr>
            </w:pPr>
            <w:r>
              <w:rPr>
                <w:rFonts w:ascii="Arial" w:cs="Arial" w:eastAsia="Arial" w:hAnsi="Arial"/>
                <w:sz w:val="14"/>
                <w:szCs w:val="14"/>
                <w:b w:val="1"/>
                <w:bCs w:val="1"/>
                <w:color w:val="auto"/>
              </w:rPr>
              <w:t>Announced Plans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jc w:val="center"/>
              <w:ind w:right="229"/>
              <w:spacing w:after="0" w:line="138"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4"/>
                <w:szCs w:val="14"/>
                <w:b w:val="1"/>
                <w:bCs w:val="1"/>
                <w:color w:val="auto"/>
                <w:w w:val="97"/>
              </w:rPr>
              <w:t xml:space="preserve">Purchased </w:t>
            </w:r>
            <w:r>
              <w:rPr>
                <w:rFonts w:ascii="Arial" w:cs="Arial" w:eastAsia="Arial" w:hAnsi="Arial"/>
                <w:sz w:val="18"/>
                <w:szCs w:val="18"/>
                <w:b w:val="1"/>
                <w:bCs w:val="1"/>
                <w:color w:val="auto"/>
                <w:w w:val="97"/>
                <w:vertAlign w:val="superscript"/>
              </w:rPr>
              <w:t>(1)</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389"/>
              <w:spacing w:after="0" w:line="191" w:lineRule="exact"/>
              <w:rPr>
                <w:sz w:val="20"/>
                <w:szCs w:val="20"/>
                <w:color w:val="auto"/>
              </w:rPr>
            </w:pPr>
            <w:r>
              <w:rPr>
                <w:rFonts w:ascii="Arial" w:cs="Arial" w:eastAsia="Arial" w:hAnsi="Arial"/>
                <w:sz w:val="14"/>
                <w:szCs w:val="14"/>
                <w:b w:val="1"/>
                <w:bCs w:val="1"/>
                <w:color w:val="auto"/>
                <w:w w:val="97"/>
              </w:rPr>
              <w:t xml:space="preserve">Per Share </w:t>
            </w:r>
            <w:r>
              <w:rPr>
                <w:rFonts w:ascii="Arial" w:cs="Arial" w:eastAsia="Arial" w:hAnsi="Arial"/>
                <w:sz w:val="18"/>
                <w:szCs w:val="18"/>
                <w:b w:val="1"/>
                <w:bCs w:val="1"/>
                <w:color w:val="auto"/>
                <w:w w:val="97"/>
                <w:vertAlign w:val="superscript"/>
              </w:rPr>
              <w:t>(2)</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rPr>
              <w:t>or Programs</w:t>
            </w: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249"/>
              <w:spacing w:after="0" w:line="191" w:lineRule="exact"/>
              <w:rPr>
                <w:sz w:val="20"/>
                <w:szCs w:val="20"/>
                <w:color w:val="auto"/>
              </w:rPr>
            </w:pPr>
            <w:r>
              <w:rPr>
                <w:rFonts w:ascii="Arial" w:cs="Arial" w:eastAsia="Arial" w:hAnsi="Arial"/>
                <w:sz w:val="14"/>
                <w:szCs w:val="14"/>
                <w:b w:val="1"/>
                <w:bCs w:val="1"/>
                <w:color w:val="auto"/>
                <w:w w:val="95"/>
              </w:rPr>
              <w:t xml:space="preserve">Programs </w:t>
            </w:r>
            <w:r>
              <w:rPr>
                <w:rFonts w:ascii="Arial" w:cs="Arial" w:eastAsia="Arial" w:hAnsi="Arial"/>
                <w:sz w:val="18"/>
                <w:szCs w:val="18"/>
                <w:b w:val="1"/>
                <w:bCs w:val="1"/>
                <w:color w:val="auto"/>
                <w:w w:val="95"/>
                <w:vertAlign w:val="superscript"/>
              </w:rPr>
              <w:t>(3)</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4/1/2023 - 4/30/2023</w:t>
            </w: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8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147,053</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Arial" w:cs="Arial" w:eastAsia="Arial" w:hAnsi="Arial"/>
                <w:sz w:val="14"/>
                <w:szCs w:val="14"/>
                <w:color w:val="auto"/>
              </w:rPr>
              <w:t>5/1/2023 - 5/31/2023</w:t>
            </w:r>
          </w:p>
        </w:tc>
        <w:tc>
          <w:tcPr>
            <w:tcW w:w="1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60" w:type="dxa"/>
            <w:vAlign w:val="bottom"/>
            <w:gridSpan w:val="3"/>
          </w:tcPr>
          <w:p>
            <w:pPr>
              <w:jc w:val="right"/>
              <w:ind w:right="2189"/>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147,053</w:t>
            </w: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6/1/2023 - 6/30/2023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2,242</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14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147,053</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2,242</w:t>
            </w:r>
          </w:p>
        </w:tc>
        <w:tc>
          <w:tcPr>
            <w:tcW w:w="14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1189"/>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22.30</w:t>
            </w:r>
          </w:p>
        </w:tc>
        <w:tc>
          <w:tcPr>
            <w:tcW w:w="140" w:type="dxa"/>
            <w:vAlign w:val="bottom"/>
          </w:tcPr>
          <w:p>
            <w:pPr>
              <w:spacing w:after="0"/>
              <w:rPr>
                <w:sz w:val="14"/>
                <w:szCs w:val="14"/>
                <w:color w:val="auto"/>
              </w:rPr>
            </w:pPr>
          </w:p>
        </w:tc>
        <w:tc>
          <w:tcPr>
            <w:tcW w:w="20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147,053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60" w:hanging="255"/>
        <w:spacing w:after="0" w:line="239" w:lineRule="auto"/>
        <w:tabs>
          <w:tab w:leader="none" w:pos="286"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 June 2023, we used approximately $50.0 million of the net proceeds from issuance of the Convertible Notes to repurchase approximately 2.24 million shares of our common stock in a privately negotiated transaction with one of the initial purchasers of the Convertible Notes. Such transactions were authorized separately from, and did not reduce the authorized repurchase capacity remaining under, our 2020 Repurchase Program (as defined below). For additional information about the offering of the Convertible Notes, see Note 6. Debt, Interest Income, Expense, and Other Finance Costs.</w:t>
      </w:r>
    </w:p>
    <w:p>
      <w:pPr>
        <w:spacing w:after="0" w:line="49" w:lineRule="exact"/>
        <w:rPr>
          <w:rFonts w:ascii="Arial" w:cs="Arial" w:eastAsia="Arial" w:hAnsi="Arial"/>
          <w:sz w:val="18"/>
          <w:szCs w:val="18"/>
          <w:color w:val="auto"/>
          <w:vertAlign w:val="superscript"/>
        </w:rPr>
      </w:pPr>
    </w:p>
    <w:p>
      <w:pPr>
        <w:ind w:left="280" w:hanging="275"/>
        <w:spacing w:after="0"/>
        <w:tabs>
          <w:tab w:leader="none" w:pos="2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average price paid per share excludes the impact of the 1% Federal excise tax owed pursuant to the Inflation Reduction Act.</w:t>
      </w:r>
    </w:p>
    <w:p>
      <w:pPr>
        <w:spacing w:after="0" w:line="74" w:lineRule="exact"/>
        <w:rPr>
          <w:rFonts w:ascii="Arial" w:cs="Arial" w:eastAsia="Arial" w:hAnsi="Arial"/>
          <w:sz w:val="18"/>
          <w:szCs w:val="18"/>
          <w:color w:val="auto"/>
          <w:vertAlign w:val="superscript"/>
        </w:rPr>
      </w:pPr>
    </w:p>
    <w:p>
      <w:pPr>
        <w:jc w:val="both"/>
        <w:ind w:left="260" w:hanging="255"/>
        <w:spacing w:after="0" w:line="239" w:lineRule="auto"/>
        <w:tabs>
          <w:tab w:leader="none" w:pos="305"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 March 2020, the Board approved a stock repurchase program authorizing $200.0 million in common stock repurchases (the "2020 Repurchase Program"). Our repurchase program does not require a minimum number of shares of common stock to be purchased, has no expiration date, and repurchases may be initiated, suspended or discontinued at any time. As of June 30, 2023, approximately $147.1 million remains available under the 2020 Repurchase Program. The timing and amount of shares of common stock to be repurchased under the 2020 Repurchase Program will depend on market conditions, share price, securities law and other legal requirements and factors.</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5.</w:t>
        <w:tab/>
        <w:t>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10b5-1 Trading Plans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During the three months ended June 30, 2023, none of our officers (as defined in Rule 16a-1(f) of the Exchange Act) or directors adopted or terminated a "Rule 10b5-1 trading arrangement" or "non-Rule 10b5-1 trading arrangement," as each term is defined in Item 408(a) of Regulation S-K.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8" w:name="page39"/>
    <w:bookmarkEnd w:id="38"/>
    <w:p>
      <w:pPr>
        <w:spacing w:after="0"/>
        <w:tabs>
          <w:tab w:leader="none" w:pos="620" w:val="left"/>
        </w:tabs>
        <w:rPr>
          <w:sz w:val="20"/>
          <w:szCs w:val="20"/>
          <w:color w:val="auto"/>
        </w:rPr>
      </w:pPr>
      <w:r>
        <w:rPr>
          <w:rFonts w:ascii="Arial" w:cs="Arial" w:eastAsia="Arial" w:hAnsi="Arial"/>
          <w:sz w:val="14"/>
          <w:szCs w:val="14"/>
          <w:b w:val="1"/>
          <w:bCs w:val="1"/>
          <w:color w:val="auto"/>
        </w:rPr>
        <w:t>Item 6.</w:t>
        <w:tab/>
        <w:t>Exhibits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exhibits set forth in the following index of exhibits are filed as part of this 10-Q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39"/>
        </w:trPr>
        <w:tc>
          <w:tcPr>
            <w:tcW w:w="560" w:type="dxa"/>
            <w:vAlign w:val="bottom"/>
            <w:gridSpan w:val="2"/>
          </w:tcPr>
          <w:p>
            <w:pPr>
              <w:spacing w:after="0"/>
              <w:rPr>
                <w:sz w:val="12"/>
                <w:szCs w:val="12"/>
                <w:color w:val="auto"/>
              </w:rPr>
            </w:pPr>
          </w:p>
        </w:tc>
        <w:tc>
          <w:tcPr>
            <w:tcW w:w="200" w:type="dxa"/>
            <w:vAlign w:val="bottom"/>
            <w:tcBorders>
              <w:bottom w:val="single" w:sz="8" w:color="0000FF"/>
            </w:tcBorders>
          </w:tcPr>
          <w:p>
            <w:pPr>
              <w:jc w:val="center"/>
              <w:spacing w:after="0" w:line="139" w:lineRule="exact"/>
              <w:rPr>
                <w:sz w:val="20"/>
                <w:szCs w:val="20"/>
                <w:color w:val="auto"/>
              </w:rPr>
            </w:pPr>
            <w:r>
              <w:rPr>
                <w:rFonts w:ascii="Arial" w:cs="Arial" w:eastAsia="Arial" w:hAnsi="Arial"/>
                <w:sz w:val="14"/>
                <w:szCs w:val="14"/>
                <w:color w:val="0000FF"/>
              </w:rPr>
              <w:t>3.</w:t>
            </w:r>
            <w:r>
              <w:rPr>
                <w:rFonts w:ascii="Arial" w:cs="Arial" w:eastAsia="Arial" w:hAnsi="Arial"/>
                <w:sz w:val="14"/>
                <w:szCs w:val="14"/>
                <w:u w:val="single" w:color="auto"/>
                <w:color w:val="0000FF"/>
              </w:rPr>
              <w:t>1</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20" w:type="dxa"/>
            <w:vAlign w:val="bottom"/>
          </w:tcPr>
          <w:p>
            <w:pPr>
              <w:spacing w:after="0" w:line="139" w:lineRule="exact"/>
              <w:rPr>
                <w:sz w:val="20"/>
                <w:szCs w:val="20"/>
                <w:color w:val="auto"/>
              </w:rPr>
            </w:pPr>
            <w:r>
              <w:rPr>
                <w:rFonts w:ascii="Arial" w:cs="Arial" w:eastAsia="Arial" w:hAnsi="Arial"/>
                <w:sz w:val="14"/>
                <w:szCs w:val="14"/>
                <w:color w:val="auto"/>
              </w:rPr>
              <w:t>Articles of Amendment to Articles of Incorporation, as amended, of World Kinect Corporation</w:t>
            </w:r>
          </w:p>
        </w:tc>
      </w:tr>
      <w:tr>
        <w:trPr>
          <w:trHeight w:val="235"/>
        </w:trPr>
        <w:tc>
          <w:tcPr>
            <w:tcW w:w="560" w:type="dxa"/>
            <w:vAlign w:val="bottom"/>
            <w:gridSpan w:val="2"/>
          </w:tcPr>
          <w:p>
            <w:pPr>
              <w:spacing w:after="0"/>
              <w:rPr>
                <w:sz w:val="20"/>
                <w:szCs w:val="20"/>
                <w:color w:val="auto"/>
              </w:rPr>
            </w:pPr>
          </w:p>
        </w:tc>
        <w:tc>
          <w:tcPr>
            <w:tcW w:w="200" w:type="dxa"/>
            <w:vAlign w:val="bottom"/>
            <w:tcBorders>
              <w:bottom w:val="single" w:sz="8" w:color="0000FF"/>
            </w:tcBorders>
          </w:tcPr>
          <w:p>
            <w:pPr>
              <w:jc w:val="center"/>
              <w:spacing w:after="0"/>
              <w:rPr>
                <w:sz w:val="20"/>
                <w:szCs w:val="20"/>
                <w:color w:val="auto"/>
              </w:rPr>
            </w:pPr>
            <w:r>
              <w:rPr>
                <w:rFonts w:ascii="Arial" w:cs="Arial" w:eastAsia="Arial" w:hAnsi="Arial"/>
                <w:sz w:val="14"/>
                <w:szCs w:val="14"/>
                <w:color w:val="0000FF"/>
              </w:rPr>
              <w:t>3.</w:t>
            </w:r>
            <w:r>
              <w:rPr>
                <w:rFonts w:ascii="Arial" w:cs="Arial" w:eastAsia="Arial" w:hAnsi="Arial"/>
                <w:sz w:val="14"/>
                <w:szCs w:val="14"/>
                <w:u w:val="single" w:color="auto"/>
                <w:color w:val="0000FF"/>
              </w:rPr>
              <w:t>2</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Restated Articles of Incorporation of World Kinect Corporation</w:t>
            </w:r>
          </w:p>
        </w:tc>
      </w:tr>
      <w:tr>
        <w:trPr>
          <w:trHeight w:val="235"/>
        </w:trPr>
        <w:tc>
          <w:tcPr>
            <w:tcW w:w="760" w:type="dxa"/>
            <w:vAlign w:val="bottom"/>
            <w:gridSpan w:val="3"/>
          </w:tcPr>
          <w:p>
            <w:pPr>
              <w:jc w:val="center"/>
              <w:ind w:left="489"/>
              <w:spacing w:after="0"/>
              <w:rPr>
                <w:rFonts w:ascii="Arial" w:cs="Arial" w:eastAsia="Arial" w:hAnsi="Arial"/>
                <w:sz w:val="14"/>
                <w:szCs w:val="14"/>
                <w:color w:val="0000FF"/>
              </w:rPr>
            </w:pPr>
            <w:hyperlink r:id="rId62">
              <w:r>
                <w:rPr>
                  <w:rFonts w:ascii="Arial" w:cs="Arial" w:eastAsia="Arial" w:hAnsi="Arial"/>
                  <w:sz w:val="14"/>
                  <w:szCs w:val="14"/>
                  <w:color w:val="0000FF"/>
                </w:rPr>
                <w:t>4.</w:t>
              </w:r>
              <w:r>
                <w:rPr>
                  <w:rFonts w:ascii="Arial" w:cs="Arial" w:eastAsia="Arial" w:hAnsi="Arial"/>
                  <w:sz w:val="14"/>
                  <w:szCs w:val="14"/>
                  <w:u w:val="single" w:color="auto"/>
                  <w:color w:val="0000FF"/>
                </w:rPr>
                <w:t>1</w:t>
              </w:r>
            </w:hyperlink>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Indenture, dated as of June 26, 2023, between World Kinect Corporation and U.S. Bank Trust Company, National Association (incorporated by reference</w:t>
            </w:r>
          </w:p>
        </w:tc>
      </w:tr>
      <w:tr>
        <w:trPr>
          <w:trHeight w:val="160"/>
        </w:trPr>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from Exhibit 4.1 to our Current Report on Form 8-K filed on June 27, 2023)</w:t>
            </w:r>
          </w:p>
        </w:tc>
      </w:tr>
      <w:tr>
        <w:trPr>
          <w:trHeight w:val="223"/>
        </w:trPr>
        <w:tc>
          <w:tcPr>
            <w:tcW w:w="560" w:type="dxa"/>
            <w:vAlign w:val="bottom"/>
            <w:gridSpan w:val="2"/>
          </w:tcPr>
          <w:p>
            <w:pPr>
              <w:spacing w:after="0"/>
              <w:rPr>
                <w:sz w:val="19"/>
                <w:szCs w:val="19"/>
                <w:color w:val="auto"/>
              </w:rPr>
            </w:pPr>
          </w:p>
        </w:tc>
        <w:tc>
          <w:tcPr>
            <w:tcW w:w="200" w:type="dxa"/>
            <w:vAlign w:val="bottom"/>
            <w:tcBorders>
              <w:bottom w:val="single" w:sz="8" w:color="0000FF"/>
            </w:tcBorders>
          </w:tcPr>
          <w:p>
            <w:pPr>
              <w:jc w:val="center"/>
              <w:spacing w:after="0"/>
              <w:rPr>
                <w:rFonts w:ascii="Arial" w:cs="Arial" w:eastAsia="Arial" w:hAnsi="Arial"/>
                <w:sz w:val="14"/>
                <w:szCs w:val="14"/>
                <w:color w:val="0000FF"/>
              </w:rPr>
            </w:pPr>
            <w:hyperlink r:id="rId62">
              <w:r>
                <w:rPr>
                  <w:rFonts w:ascii="Arial" w:cs="Arial" w:eastAsia="Arial" w:hAnsi="Arial"/>
                  <w:sz w:val="14"/>
                  <w:szCs w:val="14"/>
                  <w:color w:val="0000FF"/>
                </w:rPr>
                <w:t>4.</w:t>
              </w:r>
              <w:r>
                <w:rPr>
                  <w:rFonts w:ascii="Arial" w:cs="Arial" w:eastAsia="Arial" w:hAnsi="Arial"/>
                  <w:sz w:val="14"/>
                  <w:szCs w:val="14"/>
                  <w:u w:val="single" w:color="auto"/>
                  <w:color w:val="0000FF"/>
                </w:rPr>
                <w:t>2</w:t>
              </w:r>
            </w:hyperlink>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Form of 3.250% Convertible Senior Note due 2028 (incorporated by reference from Exhibit 4.2 to our Current Report on Form 8-K filed on June 27, 2023)</w:t>
            </w:r>
          </w:p>
        </w:tc>
      </w:tr>
      <w:tr>
        <w:trPr>
          <w:trHeight w:val="225"/>
        </w:trPr>
        <w:tc>
          <w:tcPr>
            <w:tcW w:w="800" w:type="dxa"/>
            <w:vAlign w:val="bottom"/>
            <w:gridSpan w:val="4"/>
          </w:tcPr>
          <w:p>
            <w:pPr>
              <w:jc w:val="center"/>
              <w:ind w:left="449"/>
              <w:spacing w:after="0"/>
              <w:rPr>
                <w:rFonts w:ascii="Arial" w:cs="Arial" w:eastAsia="Arial" w:hAnsi="Arial"/>
                <w:sz w:val="14"/>
                <w:szCs w:val="14"/>
                <w:color w:val="0000FF"/>
              </w:rPr>
            </w:pPr>
            <w:hyperlink r:id="rId63">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Purchase Agreement, dated June 21, 2023, among World Kinect Corporation, Morgan Stanley &amp; Co. LLC, J.P. Morgan Securities LLC and BofA Securities,</w:t>
            </w:r>
          </w:p>
        </w:tc>
      </w:tr>
      <w:tr>
        <w:trPr>
          <w:trHeight w:val="117"/>
        </w:trPr>
        <w:tc>
          <w:tcPr>
            <w:tcW w:w="52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20" w:type="dxa"/>
            <w:vAlign w:val="bottom"/>
          </w:tcPr>
          <w:p>
            <w:pPr>
              <w:spacing w:after="0" w:line="117" w:lineRule="exact"/>
              <w:rPr>
                <w:sz w:val="20"/>
                <w:szCs w:val="20"/>
                <w:color w:val="auto"/>
              </w:rPr>
            </w:pPr>
            <w:r>
              <w:rPr>
                <w:rFonts w:ascii="Arial" w:cs="Arial" w:eastAsia="Arial" w:hAnsi="Arial"/>
                <w:sz w:val="13"/>
                <w:szCs w:val="13"/>
                <w:color w:val="auto"/>
              </w:rPr>
              <w:t>Inc. as representatives of the several initial purchasers listed on Schedule I thereto (incorporated by reference from Exhibit 10.1 to our Current Report on</w:t>
            </w:r>
          </w:p>
        </w:tc>
      </w:tr>
      <w:tr>
        <w:trPr>
          <w:trHeight w:val="180"/>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Form 8-K filed on June 27, 2023)</w:t>
            </w:r>
          </w:p>
        </w:tc>
      </w:tr>
      <w:tr>
        <w:trPr>
          <w:trHeight w:val="223"/>
        </w:trPr>
        <w:tc>
          <w:tcPr>
            <w:tcW w:w="520" w:type="dxa"/>
            <w:vAlign w:val="bottom"/>
          </w:tcPr>
          <w:p>
            <w:pPr>
              <w:spacing w:after="0"/>
              <w:rPr>
                <w:sz w:val="19"/>
                <w:szCs w:val="19"/>
                <w:color w:val="auto"/>
              </w:rPr>
            </w:pPr>
          </w:p>
        </w:tc>
        <w:tc>
          <w:tcPr>
            <w:tcW w:w="280" w:type="dxa"/>
            <w:vAlign w:val="bottom"/>
            <w:tcBorders>
              <w:bottom w:val="single" w:sz="8" w:color="0000FF"/>
            </w:tcBorders>
            <w:gridSpan w:val="3"/>
          </w:tcPr>
          <w:p>
            <w:pPr>
              <w:jc w:val="center"/>
              <w:spacing w:after="0"/>
              <w:rPr>
                <w:rFonts w:ascii="Arial" w:cs="Arial" w:eastAsia="Arial" w:hAnsi="Arial"/>
                <w:sz w:val="14"/>
                <w:szCs w:val="14"/>
                <w:color w:val="0000FF"/>
              </w:rPr>
            </w:pPr>
            <w:hyperlink r:id="rId64">
              <w:r>
                <w:rPr>
                  <w:rFonts w:ascii="Arial" w:cs="Arial" w:eastAsia="Arial" w:hAnsi="Arial"/>
                  <w:sz w:val="14"/>
                  <w:szCs w:val="14"/>
                  <w:color w:val="0000FF"/>
                </w:rPr>
                <w:t>10.</w:t>
              </w:r>
              <w:r>
                <w:rPr>
                  <w:rFonts w:ascii="Arial" w:cs="Arial" w:eastAsia="Arial" w:hAnsi="Arial"/>
                  <w:sz w:val="14"/>
                  <w:szCs w:val="14"/>
                  <w:u w:val="single" w:color="auto"/>
                  <w:color w:val="0000FF"/>
                </w:rPr>
                <w:t>2</w:t>
              </w:r>
            </w:hyperlink>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Form of Convertible Note Hedge Confirmation (incorporated by reference from Exhibit 10.2 to our Current Report on Form 8-K filed on June 27, 2023)</w:t>
            </w:r>
          </w:p>
        </w:tc>
      </w:tr>
      <w:tr>
        <w:trPr>
          <w:trHeight w:val="235"/>
        </w:trPr>
        <w:tc>
          <w:tcPr>
            <w:tcW w:w="52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rFonts w:ascii="Arial" w:cs="Arial" w:eastAsia="Arial" w:hAnsi="Arial"/>
                <w:sz w:val="14"/>
                <w:szCs w:val="14"/>
                <w:color w:val="0000FF"/>
              </w:rPr>
            </w:pPr>
            <w:hyperlink r:id="rId65">
              <w:r>
                <w:rPr>
                  <w:rFonts w:ascii="Arial" w:cs="Arial" w:eastAsia="Arial" w:hAnsi="Arial"/>
                  <w:sz w:val="14"/>
                  <w:szCs w:val="14"/>
                  <w:color w:val="0000FF"/>
                </w:rPr>
                <w:t>10.</w:t>
              </w:r>
              <w:r>
                <w:rPr>
                  <w:rFonts w:ascii="Arial" w:cs="Arial" w:eastAsia="Arial" w:hAnsi="Arial"/>
                  <w:sz w:val="14"/>
                  <w:szCs w:val="14"/>
                  <w:u w:val="single" w:color="auto"/>
                  <w:color w:val="0000FF"/>
                </w:rPr>
                <w:t>3</w:t>
              </w:r>
            </w:hyperlink>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Form of Warrant Confirmation (incorporated by reference from Exhibit 10.3 to our Current Report on Form 8-K filed on June 27, 2023)</w:t>
            </w:r>
          </w:p>
        </w:tc>
      </w:tr>
      <w:tr>
        <w:trPr>
          <w:trHeight w:val="235"/>
        </w:trPr>
        <w:tc>
          <w:tcPr>
            <w:tcW w:w="52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Certification of the Chief Executive Officer pursuant to Rule 13a-14(a) or Rule 15d — 14(a)</w:t>
            </w:r>
          </w:p>
        </w:tc>
      </w:tr>
      <w:tr>
        <w:trPr>
          <w:trHeight w:val="235"/>
        </w:trPr>
        <w:tc>
          <w:tcPr>
            <w:tcW w:w="52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2</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Certification of the Chief Financial Officer pursuant to Rule 13a-14(a) or Rule 15d — 14(a)</w:t>
            </w:r>
          </w:p>
        </w:tc>
      </w:tr>
      <w:tr>
        <w:trPr>
          <w:trHeight w:val="235"/>
        </w:trPr>
        <w:tc>
          <w:tcPr>
            <w:tcW w:w="52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4"/>
                <w:szCs w:val="14"/>
                <w:color w:val="auto"/>
              </w:rPr>
              <w:t>Certification of Chief Executive Officer and Chief Financial Officer under Section 906 of the Sarbanes-Oxley Act of 2002 (furnished herewith)</w:t>
            </w:r>
          </w:p>
        </w:tc>
      </w:tr>
    </w:tbl>
    <w:p>
      <w:pPr>
        <w:spacing w:after="0" w:line="95" w:lineRule="exact"/>
        <w:rPr>
          <w:sz w:val="20"/>
          <w:szCs w:val="20"/>
          <w:color w:val="auto"/>
        </w:rPr>
      </w:pPr>
    </w:p>
    <w:p>
      <w:pPr>
        <w:jc w:val="both"/>
        <w:ind w:left="1460" w:right="20" w:hanging="916"/>
        <w:spacing w:after="0" w:line="225" w:lineRule="auto"/>
        <w:tabs>
          <w:tab w:leader="none" w:pos="1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following materials from World Kinect Corporation's Quarterly Report on Form 10-Q for the quarter ended June 30, 2023,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p>
      <w:pPr>
        <w:spacing w:after="0" w:line="75" w:lineRule="exact"/>
        <w:rPr>
          <w:sz w:val="20"/>
          <w:szCs w:val="20"/>
          <w:color w:val="auto"/>
        </w:rPr>
      </w:pPr>
    </w:p>
    <w:p>
      <w:pPr>
        <w:ind w:left="5560" w:right="4700" w:hanging="5016"/>
        <w:spacing w:after="0" w:line="929" w:lineRule="auto"/>
        <w:tabs>
          <w:tab w:leader="none" w:pos="1464"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Cover page interactive file (formatted in Inline XBRL and contained in Exhibit 101)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Signatures</w:t>
      </w:r>
    </w:p>
    <w:p>
      <w:pPr>
        <w:spacing w:after="0" w:line="35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color w:val="auto"/>
        </w:rPr>
        <w:t>Date: July 28, 2023</w:t>
      </w:r>
      <w:r>
        <w:rPr>
          <w:sz w:val="20"/>
          <w:szCs w:val="20"/>
          <w:color w:val="auto"/>
        </w:rPr>
        <w:tab/>
      </w:r>
      <w:r>
        <w:rPr>
          <w:rFonts w:ascii="Arial" w:cs="Arial" w:eastAsia="Arial" w:hAnsi="Arial"/>
          <w:sz w:val="14"/>
          <w:szCs w:val="14"/>
          <w:color w:val="auto"/>
        </w:rPr>
        <w:t>World Kinect Corporation</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7060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Michael J. Kasbar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Chairman, President and 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7060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Ira M. Birns</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Executive Vice President and Chief Financial Officer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810" w:right="319" w:bottom="144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 ARTICLES OF INCORPORATION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compliance with Section 607.1007, Florida Statutes, World Kinect Corporation hereby restates its Articles of Incorporation in their entirety as follows: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I - NAME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name of this Corporation is World Kinect Corporation.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II - DURATION</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Corporation shall have perpetual existence.</w:t>
      </w:r>
    </w:p>
    <w:p>
      <w:pPr>
        <w:spacing w:after="0" w:line="140" w:lineRule="exact"/>
        <w:rPr>
          <w:sz w:val="20"/>
          <w:szCs w:val="20"/>
          <w:color w:val="auto"/>
        </w:rPr>
      </w:pPr>
    </w:p>
    <w:p>
      <w:pPr>
        <w:ind w:left="4680"/>
        <w:spacing w:after="0"/>
        <w:rPr>
          <w:sz w:val="20"/>
          <w:szCs w:val="20"/>
          <w:color w:val="auto"/>
        </w:rPr>
      </w:pPr>
      <w:r>
        <w:rPr>
          <w:rFonts w:ascii="Arial" w:cs="Arial" w:eastAsia="Arial" w:hAnsi="Arial"/>
          <w:sz w:val="17"/>
          <w:szCs w:val="17"/>
          <w:b w:val="1"/>
          <w:bCs w:val="1"/>
          <w:u w:val="single" w:color="auto"/>
          <w:color w:val="auto"/>
        </w:rPr>
        <w:t>ARTICLE III - PURPOSE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Corporation may engage in any activity or business permitted under the laws of the United States and of the State of Florida.</w:t>
      </w:r>
    </w:p>
    <w:p>
      <w:pPr>
        <w:spacing w:after="0" w:line="140" w:lineRule="exact"/>
        <w:rPr>
          <w:sz w:val="20"/>
          <w:szCs w:val="20"/>
          <w:color w:val="auto"/>
        </w:rPr>
      </w:pPr>
    </w:p>
    <w:p>
      <w:pPr>
        <w:ind w:left="4380"/>
        <w:spacing w:after="0"/>
        <w:rPr>
          <w:sz w:val="20"/>
          <w:szCs w:val="20"/>
          <w:color w:val="auto"/>
        </w:rPr>
      </w:pPr>
      <w:r>
        <w:rPr>
          <w:rFonts w:ascii="Arial" w:cs="Arial" w:eastAsia="Arial" w:hAnsi="Arial"/>
          <w:sz w:val="17"/>
          <w:szCs w:val="17"/>
          <w:b w:val="1"/>
          <w:bCs w:val="1"/>
          <w:u w:val="single" w:color="auto"/>
          <w:color w:val="auto"/>
        </w:rPr>
        <w:t>ARTICLE IV - CAPITAL STOCK</w:t>
      </w:r>
    </w:p>
    <w:p>
      <w:pPr>
        <w:spacing w:after="0" w:line="148"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7"/>
          <w:szCs w:val="17"/>
          <w:color w:val="auto"/>
        </w:rPr>
        <w:t xml:space="preserve">ARTICLE I - </w:t>
      </w:r>
      <w:r>
        <w:rPr>
          <w:rFonts w:ascii="Arial" w:cs="Arial" w:eastAsia="Arial" w:hAnsi="Arial"/>
          <w:sz w:val="17"/>
          <w:szCs w:val="17"/>
          <w:u w:val="single" w:color="auto"/>
          <w:color w:val="auto"/>
        </w:rPr>
        <w:t>Common Stock</w:t>
      </w:r>
      <w:r>
        <w:rPr>
          <w:rFonts w:ascii="Arial" w:cs="Arial" w:eastAsia="Arial" w:hAnsi="Arial"/>
          <w:sz w:val="17"/>
          <w:szCs w:val="17"/>
          <w:color w:val="auto"/>
        </w:rPr>
        <w:t>: The Corporation is authorized to issue 100,000,000 shares of one cent ($.01) par value common stock, which shall be designated “Common Stock.” Except as provided by Section B hereof or otherwise by law, the entire voting power for the election of directors and for all other purposes shall be vested exclusively in the holders of the Common Stock.</w:t>
      </w:r>
    </w:p>
    <w:p>
      <w:pPr>
        <w:spacing w:after="0" w:line="124" w:lineRule="exact"/>
        <w:rPr>
          <w:sz w:val="20"/>
          <w:szCs w:val="20"/>
          <w:color w:val="auto"/>
        </w:rPr>
      </w:pPr>
    </w:p>
    <w:p>
      <w:pPr>
        <w:jc w:val="both"/>
        <w:ind w:firstLine="514"/>
        <w:spacing w:after="0" w:line="228" w:lineRule="auto"/>
        <w:tabs>
          <w:tab w:leader="none" w:pos="101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The Corporation is authorized to issue 100,000 shares of one dollar ($1.00) par value series preferred stock, which shall be designated “Preferred Stock.” The Board of Directors is authorized to amend these Articles of Incorporation from time to time to divide the Preferred Stock into series and to determine the number of shares of each such series and the relative rights, preferences and limitations of the shares of each such series. Whenever the Board of Directors acts under the preceding sentence, it shall adopt a resolution setting forth its actions and stating the designations and number of shares, and the relative rights, preferences and limitations of the shares of each series thereby created or with respect to which it has made a determination or change, which rights, preferences and limitations may differ with respect to the various series, and shall execute and file in the office of the Secretary of State a Certificate of Amendment to the Articles of Incorporation, as provided by law, with respect to such actions. Without limiting the foregoing, the Board of Directors is expressly authorized to so fix and determine, with respect to each series:</w:t>
      </w:r>
    </w:p>
    <w:p>
      <w:pPr>
        <w:spacing w:after="0" w:line="129" w:lineRule="exact"/>
        <w:rPr>
          <w:rFonts w:ascii="Arial" w:cs="Arial" w:eastAsia="Arial" w:hAnsi="Arial"/>
          <w:sz w:val="16"/>
          <w:szCs w:val="16"/>
          <w:color w:val="auto"/>
        </w:rPr>
      </w:pPr>
    </w:p>
    <w:p>
      <w:pPr>
        <w:ind w:left="1540" w:hanging="517"/>
        <w:spacing w:after="0"/>
        <w:tabs>
          <w:tab w:leader="none" w:pos="1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number of shares which shall constitute that series and the name or designation of that series;</w:t>
      </w:r>
    </w:p>
    <w:p>
      <w:pPr>
        <w:spacing w:after="0" w:line="144" w:lineRule="exact"/>
        <w:rPr>
          <w:rFonts w:ascii="Arial" w:cs="Arial" w:eastAsia="Arial" w:hAnsi="Arial"/>
          <w:sz w:val="17"/>
          <w:szCs w:val="17"/>
          <w:color w:val="auto"/>
        </w:rPr>
      </w:pPr>
    </w:p>
    <w:p>
      <w:pPr>
        <w:ind w:left="1540" w:hanging="517"/>
        <w:spacing w:after="0" w:line="236" w:lineRule="auto"/>
        <w:tabs>
          <w:tab w:leader="none" w:pos="1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rate and times at which dividends on that series shall be paid, and whether and the extent to which such dividends shall be cumulative or non cumulative;</w:t>
      </w:r>
    </w:p>
    <w:p>
      <w:pPr>
        <w:spacing w:after="0" w:line="124" w:lineRule="exact"/>
        <w:rPr>
          <w:rFonts w:ascii="Arial" w:cs="Arial" w:eastAsia="Arial" w:hAnsi="Arial"/>
          <w:sz w:val="17"/>
          <w:szCs w:val="17"/>
          <w:color w:val="auto"/>
        </w:rPr>
      </w:pPr>
    </w:p>
    <w:p>
      <w:pPr>
        <w:ind w:left="1540" w:hanging="517"/>
        <w:spacing w:after="0" w:line="236" w:lineRule="auto"/>
        <w:tabs>
          <w:tab w:leader="none" w:pos="1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right or rights, if any, of the holders of shares of that series to receive dividends payable on a parity with or in preference to the dividends payable on shares of any other class or series;</w:t>
      </w:r>
    </w:p>
    <w:p>
      <w:pPr>
        <w:sectPr>
          <w:pgSz w:w="11900" w:h="16838" w:orient="portrait"/>
          <w:cols w:equalWidth="0" w:num="1">
            <w:col w:w="11280"/>
          </w:cols>
          <w:pgMar w:left="300" w:top="108" w:right="319" w:bottom="1440" w:gutter="0" w:footer="0" w:header="0"/>
        </w:sectPr>
      </w:pPr>
    </w:p>
    <w:bookmarkStart w:id="46" w:name="page47"/>
    <w:bookmarkEnd w:id="46"/>
    <w:p>
      <w:pPr>
        <w:ind w:left="1540" w:hanging="517"/>
        <w:spacing w:after="0"/>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preferential rights of the holders of shares of that series upon the liquidation of, or upon any distribution of the assets of, the Corporation;</w:t>
      </w:r>
    </w:p>
    <w:p>
      <w:pPr>
        <w:spacing w:after="0" w:line="167" w:lineRule="exact"/>
        <w:rPr>
          <w:rFonts w:ascii="Arial" w:cs="Arial" w:eastAsia="Arial" w:hAnsi="Arial"/>
          <w:sz w:val="15"/>
          <w:szCs w:val="15"/>
          <w:color w:val="auto"/>
        </w:rPr>
      </w:pPr>
    </w:p>
    <w:p>
      <w:pPr>
        <w:ind w:left="1540" w:hanging="517"/>
        <w:spacing w:after="0" w:line="23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if any, upon which the holders of the shares of that series may convert such shares into shares of any class or classes or of any series of any class or classes;</w:t>
      </w:r>
    </w:p>
    <w:p>
      <w:pPr>
        <w:spacing w:after="0" w:line="124" w:lineRule="exact"/>
        <w:rPr>
          <w:rFonts w:ascii="Arial" w:cs="Arial" w:eastAsia="Arial" w:hAnsi="Arial"/>
          <w:sz w:val="17"/>
          <w:szCs w:val="17"/>
          <w:color w:val="auto"/>
        </w:rPr>
      </w:pPr>
    </w:p>
    <w:p>
      <w:pPr>
        <w:ind w:left="1540" w:hanging="517"/>
        <w:spacing w:after="0" w:line="23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and conditions, if any, on which shares of that series may be redeemed, including the redemption price or prices and the period or periods of such redemption;</w:t>
      </w:r>
    </w:p>
    <w:p>
      <w:pPr>
        <w:spacing w:after="0" w:line="124" w:lineRule="exact"/>
        <w:rPr>
          <w:rFonts w:ascii="Arial" w:cs="Arial" w:eastAsia="Arial" w:hAnsi="Arial"/>
          <w:sz w:val="17"/>
          <w:szCs w:val="17"/>
          <w:color w:val="auto"/>
        </w:rPr>
      </w:pPr>
    </w:p>
    <w:p>
      <w:pPr>
        <w:ind w:left="1540" w:hanging="517"/>
        <w:spacing w:after="0"/>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or amount of any sinking fund or purchase fund for the purchase or redemption of shares of that series;</w:t>
      </w:r>
    </w:p>
    <w:p>
      <w:pPr>
        <w:spacing w:after="0" w:line="144" w:lineRule="exact"/>
        <w:rPr>
          <w:rFonts w:ascii="Arial" w:cs="Arial" w:eastAsia="Arial" w:hAnsi="Arial"/>
          <w:sz w:val="17"/>
          <w:szCs w:val="17"/>
          <w:color w:val="auto"/>
        </w:rPr>
      </w:pPr>
    </w:p>
    <w:p>
      <w:pPr>
        <w:ind w:left="1540" w:hanging="517"/>
        <w:spacing w:after="0"/>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Voting rights, if any, of the shares of that series; and</w:t>
      </w:r>
    </w:p>
    <w:p>
      <w:pPr>
        <w:spacing w:after="0" w:line="144" w:lineRule="exact"/>
        <w:rPr>
          <w:rFonts w:ascii="Arial" w:cs="Arial" w:eastAsia="Arial" w:hAnsi="Arial"/>
          <w:sz w:val="17"/>
          <w:szCs w:val="17"/>
          <w:color w:val="auto"/>
        </w:rPr>
      </w:pPr>
    </w:p>
    <w:p>
      <w:pPr>
        <w:ind w:left="1540" w:hanging="517"/>
        <w:spacing w:after="0"/>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other rights and preferences of such shares, to the full extent now or hereafter permitted by the laws of the State of Florida.</w:t>
      </w:r>
    </w:p>
    <w:p>
      <w:pPr>
        <w:spacing w:after="0" w:line="140" w:lineRule="exact"/>
        <w:rPr>
          <w:sz w:val="20"/>
          <w:szCs w:val="20"/>
          <w:color w:val="auto"/>
        </w:rPr>
      </w:pPr>
    </w:p>
    <w:p>
      <w:pPr>
        <w:ind w:left="3700"/>
        <w:spacing w:after="0"/>
        <w:rPr>
          <w:sz w:val="20"/>
          <w:szCs w:val="20"/>
          <w:color w:val="auto"/>
        </w:rPr>
      </w:pPr>
      <w:r>
        <w:rPr>
          <w:rFonts w:ascii="Arial" w:cs="Arial" w:eastAsia="Arial" w:hAnsi="Arial"/>
          <w:sz w:val="17"/>
          <w:szCs w:val="17"/>
          <w:b w:val="1"/>
          <w:bCs w:val="1"/>
          <w:u w:val="single" w:color="auto"/>
          <w:color w:val="auto"/>
        </w:rPr>
        <w:t>ARTICLE V - REGISTERED OFFICE AND AGENT</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name and street address of the registered agent and office of this Corporation is CT Corporation System, 1200 South Pine Island Road, Plantation, Florida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33324.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VI - BOARD OF DIRECTORS</w:t>
      </w:r>
    </w:p>
    <w:p>
      <w:pPr>
        <w:spacing w:after="0" w:line="148" w:lineRule="exact"/>
        <w:rPr>
          <w:sz w:val="20"/>
          <w:szCs w:val="20"/>
          <w:color w:val="auto"/>
        </w:rPr>
      </w:pPr>
    </w:p>
    <w:p>
      <w:pPr>
        <w:ind w:firstLine="524"/>
        <w:spacing w:after="0" w:line="236" w:lineRule="auto"/>
        <w:rPr>
          <w:sz w:val="20"/>
          <w:szCs w:val="20"/>
          <w:color w:val="auto"/>
        </w:rPr>
      </w:pPr>
      <w:r>
        <w:rPr>
          <w:rFonts w:ascii="Arial" w:cs="Arial" w:eastAsia="Arial" w:hAnsi="Arial"/>
          <w:sz w:val="17"/>
          <w:szCs w:val="17"/>
          <w:color w:val="auto"/>
        </w:rPr>
        <w:t>This Corporation shall initially have five (5) Directors. The number of Directors may be increased or diminished from time to time by the By-Laws but shall never be less than one (1).</w:t>
      </w:r>
    </w:p>
    <w:p>
      <w:pPr>
        <w:spacing w:after="0" w:line="121" w:lineRule="exact"/>
        <w:rPr>
          <w:sz w:val="20"/>
          <w:szCs w:val="20"/>
          <w:color w:val="auto"/>
        </w:rPr>
      </w:pPr>
    </w:p>
    <w:p>
      <w:pPr>
        <w:ind w:left="4660"/>
        <w:spacing w:after="0"/>
        <w:rPr>
          <w:sz w:val="20"/>
          <w:szCs w:val="20"/>
          <w:color w:val="auto"/>
        </w:rPr>
      </w:pPr>
      <w:r>
        <w:rPr>
          <w:rFonts w:ascii="Arial" w:cs="Arial" w:eastAsia="Arial" w:hAnsi="Arial"/>
          <w:sz w:val="17"/>
          <w:szCs w:val="17"/>
          <w:b w:val="1"/>
          <w:bCs w:val="1"/>
          <w:u w:val="single" w:color="auto"/>
          <w:color w:val="auto"/>
        </w:rPr>
        <w:t>ARTICLE VII - BY LAWS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By-Laws of this Corporation may be adopted, altered, amended or repealed by either the Stockholders or Directors.</w:t>
      </w:r>
    </w:p>
    <w:p>
      <w:pPr>
        <w:spacing w:after="0" w:line="140" w:lineRule="exact"/>
        <w:rPr>
          <w:sz w:val="20"/>
          <w:szCs w:val="20"/>
          <w:color w:val="auto"/>
        </w:rPr>
      </w:pPr>
    </w:p>
    <w:p>
      <w:pPr>
        <w:ind w:left="4200"/>
        <w:spacing w:after="0"/>
        <w:rPr>
          <w:sz w:val="20"/>
          <w:szCs w:val="20"/>
          <w:color w:val="auto"/>
        </w:rPr>
      </w:pPr>
      <w:r>
        <w:rPr>
          <w:rFonts w:ascii="Arial" w:cs="Arial" w:eastAsia="Arial" w:hAnsi="Arial"/>
          <w:sz w:val="17"/>
          <w:szCs w:val="17"/>
          <w:b w:val="1"/>
          <w:bCs w:val="1"/>
          <w:u w:val="single" w:color="auto"/>
          <w:color w:val="auto"/>
        </w:rPr>
        <w:t>ARTICLE VIII - INDEMNIFICATION</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Corporation shall indemnify any Officer or Director, or any former Officer or Director, to the full extent permitted by law.</w:t>
      </w:r>
    </w:p>
    <w:p>
      <w:pPr>
        <w:spacing w:after="0" w:line="140" w:lineRule="exact"/>
        <w:rPr>
          <w:sz w:val="20"/>
          <w:szCs w:val="20"/>
          <w:color w:val="auto"/>
        </w:rPr>
      </w:pPr>
    </w:p>
    <w:p>
      <w:pPr>
        <w:ind w:left="4500"/>
        <w:spacing w:after="0"/>
        <w:rPr>
          <w:sz w:val="20"/>
          <w:szCs w:val="20"/>
          <w:color w:val="auto"/>
        </w:rPr>
      </w:pPr>
      <w:r>
        <w:rPr>
          <w:rFonts w:ascii="Arial" w:cs="Arial" w:eastAsia="Arial" w:hAnsi="Arial"/>
          <w:sz w:val="17"/>
          <w:szCs w:val="17"/>
          <w:b w:val="1"/>
          <w:bCs w:val="1"/>
          <w:u w:val="single" w:color="auto"/>
          <w:color w:val="auto"/>
        </w:rPr>
        <w:t>ARTICLE IX - AMENDMENT</w:t>
      </w:r>
    </w:p>
    <w:p>
      <w:pPr>
        <w:spacing w:after="0" w:line="148" w:lineRule="exact"/>
        <w:rPr>
          <w:sz w:val="20"/>
          <w:szCs w:val="20"/>
          <w:color w:val="auto"/>
        </w:rPr>
      </w:pPr>
    </w:p>
    <w:p>
      <w:pPr>
        <w:ind w:firstLine="509"/>
        <w:spacing w:after="0" w:line="236" w:lineRule="auto"/>
        <w:rPr>
          <w:sz w:val="20"/>
          <w:szCs w:val="20"/>
          <w:color w:val="auto"/>
        </w:rPr>
      </w:pPr>
      <w:r>
        <w:rPr>
          <w:rFonts w:ascii="Arial" w:cs="Arial" w:eastAsia="Arial" w:hAnsi="Arial"/>
          <w:sz w:val="17"/>
          <w:szCs w:val="17"/>
          <w:color w:val="auto"/>
        </w:rPr>
        <w:t>This Corporation reserves the right to amend or repeal any provisions contained in these Articles of Incorporation, in accordance with the provisions of the Florida General Corporation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280"/>
          </w:cols>
          <w:pgMar w:left="300" w:top="1131"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Rule 13a-14(a) or 15d-14(a)</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Michael J. Kasbar, certify that:</w:t>
      </w:r>
    </w:p>
    <w:p>
      <w:pPr>
        <w:spacing w:after="0" w:line="94"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World Kinect Corporation for the period ended June 30, 2023;</w:t>
      </w:r>
    </w:p>
    <w:p>
      <w:pPr>
        <w:spacing w:after="0" w:line="93" w:lineRule="exact"/>
        <w:rPr>
          <w:rFonts w:ascii="Arial" w:cs="Arial" w:eastAsia="Arial" w:hAnsi="Arial"/>
          <w:sz w:val="14"/>
          <w:szCs w:val="14"/>
          <w:color w:val="auto"/>
        </w:rPr>
      </w:pPr>
    </w:p>
    <w:p>
      <w:pPr>
        <w:ind w:left="520" w:right="2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520" w:right="8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520" w:right="28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1020" w:right="360" w:hanging="251"/>
        <w:spacing w:after="0" w:line="267" w:lineRule="auto"/>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4"/>
          <w:szCs w:val="14"/>
          <w:color w:val="auto"/>
        </w:rPr>
      </w:pPr>
    </w:p>
    <w:p>
      <w:pPr>
        <w:ind w:left="1020" w:right="180" w:hanging="251"/>
        <w:spacing w:after="0" w:line="267" w:lineRule="auto"/>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4"/>
          <w:szCs w:val="14"/>
          <w:color w:val="auto"/>
        </w:rPr>
      </w:pPr>
    </w:p>
    <w:p>
      <w:pPr>
        <w:ind w:left="1020" w:right="520" w:hanging="251"/>
        <w:spacing w:after="0" w:line="281" w:lineRule="auto"/>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1020" w:right="20" w:hanging="251"/>
        <w:spacing w:after="0" w:line="267" w:lineRule="auto"/>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rFonts w:ascii="Arial" w:cs="Arial" w:eastAsia="Arial" w:hAnsi="Arial"/>
          <w:sz w:val="14"/>
          <w:szCs w:val="14"/>
          <w:color w:val="auto"/>
        </w:rPr>
      </w:pPr>
    </w:p>
    <w:p>
      <w:pPr>
        <w:ind w:left="520" w:right="14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1020" w:right="260" w:hanging="251"/>
        <w:spacing w:after="0" w:line="281" w:lineRule="auto"/>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020" w:right="500" w:hanging="251"/>
        <w:spacing w:after="0" w:line="281" w:lineRule="auto"/>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July 28, 2023</w:t>
      </w:r>
    </w:p>
    <w:p>
      <w:pPr>
        <w:spacing w:after="0" w:line="26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12065</wp:posOffset>
            </wp:positionV>
            <wp:extent cx="367855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678555" cy="6985"/>
                    </a:xfrm>
                    <a:prstGeom prst="rect">
                      <a:avLst/>
                    </a:prstGeom>
                    <a:noFill/>
                  </pic:spPr>
                </pic:pic>
              </a:graphicData>
            </a:graphic>
          </wp:anchor>
        </w:drawing>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Michael J. Kasbar</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Chairman, President and Chief Executive Officer</w:t>
      </w:r>
    </w:p>
    <w:p>
      <w:pPr>
        <w:sectPr>
          <w:pgSz w:w="11900" w:h="16838" w:orient="portrait"/>
          <w:cols w:equalWidth="0" w:num="1">
            <w:col w:w="11280"/>
          </w:cols>
          <w:pgMar w:left="300" w:top="122"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 or 15d-14(a)</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Ira M. Birns, certify that:</w:t>
      </w:r>
    </w:p>
    <w:p>
      <w:pPr>
        <w:spacing w:after="0" w:line="94"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World Kinect Corporation for the period ended June 30, 2023;</w:t>
      </w:r>
    </w:p>
    <w:p>
      <w:pPr>
        <w:spacing w:after="0" w:line="93" w:lineRule="exact"/>
        <w:rPr>
          <w:rFonts w:ascii="Arial" w:cs="Arial" w:eastAsia="Arial" w:hAnsi="Arial"/>
          <w:sz w:val="14"/>
          <w:szCs w:val="14"/>
          <w:color w:val="auto"/>
        </w:rPr>
      </w:pPr>
    </w:p>
    <w:p>
      <w:pPr>
        <w:ind w:left="520" w:right="20" w:hanging="260"/>
        <w:spacing w:after="0" w:line="28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520" w:right="80" w:hanging="260"/>
        <w:spacing w:after="0" w:line="28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520" w:right="280" w:hanging="260"/>
        <w:spacing w:after="0" w:line="28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1020" w:right="360" w:hanging="251"/>
        <w:spacing w:after="0" w:line="267" w:lineRule="auto"/>
        <w:tabs>
          <w:tab w:leader="none" w:pos="10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4"/>
          <w:szCs w:val="14"/>
          <w:color w:val="auto"/>
        </w:rPr>
      </w:pPr>
    </w:p>
    <w:p>
      <w:pPr>
        <w:ind w:left="1020" w:right="180" w:hanging="251"/>
        <w:spacing w:after="0" w:line="267" w:lineRule="auto"/>
        <w:tabs>
          <w:tab w:leader="none" w:pos="10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4"/>
          <w:szCs w:val="14"/>
          <w:color w:val="auto"/>
        </w:rPr>
      </w:pPr>
    </w:p>
    <w:p>
      <w:pPr>
        <w:ind w:left="1020" w:right="520" w:hanging="251"/>
        <w:spacing w:after="0" w:line="281" w:lineRule="auto"/>
        <w:tabs>
          <w:tab w:leader="none" w:pos="10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1020" w:right="20" w:hanging="251"/>
        <w:spacing w:after="0" w:line="267" w:lineRule="auto"/>
        <w:tabs>
          <w:tab w:leader="none" w:pos="10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rFonts w:ascii="Arial" w:cs="Arial" w:eastAsia="Arial" w:hAnsi="Arial"/>
          <w:sz w:val="14"/>
          <w:szCs w:val="14"/>
          <w:color w:val="auto"/>
        </w:rPr>
      </w:pPr>
    </w:p>
    <w:p>
      <w:pPr>
        <w:ind w:left="520" w:right="140" w:hanging="260"/>
        <w:spacing w:after="0" w:line="28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1020" w:right="260" w:hanging="251"/>
        <w:spacing w:after="0" w:line="281" w:lineRule="auto"/>
        <w:tabs>
          <w:tab w:leader="none" w:pos="10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020" w:right="500" w:hanging="251"/>
        <w:spacing w:after="0" w:line="281" w:lineRule="auto"/>
        <w:tabs>
          <w:tab w:leader="none" w:pos="10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Date: July 28, 2023</w:t>
      </w:r>
    </w:p>
    <w:p>
      <w:pPr>
        <w:spacing w:after="0" w:line="26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12065</wp:posOffset>
            </wp:positionV>
            <wp:extent cx="34963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Ira M. Birns</w:t>
      </w:r>
    </w:p>
    <w:p>
      <w:pPr>
        <w:spacing w:after="0" w:line="3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280"/>
          </w:cols>
          <w:pgMar w:left="300" w:top="122"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(18 U.S.C. § 1350)</w:t>
      </w:r>
    </w:p>
    <w:p>
      <w:pPr>
        <w:spacing w:after="0" w:line="338" w:lineRule="exact"/>
        <w:rPr>
          <w:sz w:val="20"/>
          <w:szCs w:val="20"/>
          <w:color w:val="auto"/>
        </w:rPr>
      </w:pPr>
    </w:p>
    <w:p>
      <w:pPr>
        <w:ind w:right="280" w:firstLine="157"/>
        <w:spacing w:after="0" w:line="281" w:lineRule="auto"/>
        <w:rPr>
          <w:sz w:val="20"/>
          <w:szCs w:val="20"/>
          <w:color w:val="auto"/>
        </w:rPr>
      </w:pPr>
      <w:r>
        <w:rPr>
          <w:rFonts w:ascii="Arial" w:cs="Arial" w:eastAsia="Arial" w:hAnsi="Arial"/>
          <w:sz w:val="14"/>
          <w:szCs w:val="14"/>
          <w:color w:val="auto"/>
        </w:rPr>
        <w:t>We, Michael J. Kasbar, the Chairman, President and Chief Executive Officer of World Kinect Corporation (the "Company"), and Ira M. Birns, the Executive Vice President and Chief Financial Officer of the Company, certify for the purposes of Section 1350 of Chapter 63 of Title 18 of the United States Code that, to the best of our knowledge,</w:t>
      </w:r>
    </w:p>
    <w:p>
      <w:pPr>
        <w:spacing w:after="0" w:line="47" w:lineRule="exact"/>
        <w:rPr>
          <w:sz w:val="20"/>
          <w:szCs w:val="20"/>
          <w:color w:val="auto"/>
        </w:rPr>
      </w:pPr>
    </w:p>
    <w:p>
      <w:pPr>
        <w:ind w:left="520" w:right="320" w:hanging="260"/>
        <w:spacing w:after="0" w:line="28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period ended June 30, 2023 (the "Report") fully complies with the requirements of Section 13(a) or 15(d), as applicable, of the Securities Exchange Act of 1934;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July 28, 2023</w:t>
      </w:r>
    </w:p>
    <w:p>
      <w:pPr>
        <w:spacing w:after="0" w:line="26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12065</wp:posOffset>
            </wp:positionV>
            <wp:extent cx="367855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678555" cy="6985"/>
                    </a:xfrm>
                    <a:prstGeom prst="rect">
                      <a:avLst/>
                    </a:prstGeom>
                    <a:noFill/>
                  </pic:spPr>
                </pic:pic>
              </a:graphicData>
            </a:graphic>
          </wp:anchor>
        </w:drawing>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Michael J. Kasbar</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Chairman, President and Chief Executive Officer</w:t>
      </w: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12065</wp:posOffset>
            </wp:positionV>
            <wp:extent cx="367855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678555" cy="6985"/>
                    </a:xfrm>
                    <a:prstGeom prst="rect">
                      <a:avLst/>
                    </a:prstGeom>
                    <a:noFill/>
                  </pic:spPr>
                </pic:pic>
              </a:graphicData>
            </a:graphic>
          </wp:anchor>
        </w:drawing>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Ira M. Birns</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146685</wp:posOffset>
            </wp:positionV>
            <wp:extent cx="695960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959600" cy="13335"/>
                    </a:xfrm>
                    <a:prstGeom prst="rect">
                      <a:avLst/>
                    </a:prstGeom>
                    <a:noFill/>
                  </pic:spPr>
                </pic:pic>
              </a:graphicData>
            </a:graphic>
          </wp:anchor>
        </w:drawing>
      </w:r>
    </w:p>
    <w:sectPr>
      <w:pgSz w:w="11900" w:h="16838" w:orient="portrait"/>
      <w:cols w:equalWidth="0" w:num="1">
        <w:col w:w="11280"/>
      </w:cols>
      <w:pgMar w:left="30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endash "/>
      <w:numFmt w:val="bullet"/>
      <w:start w:val="1"/>
    </w:lvl>
  </w:abstractNum>
  <w:abstractNum w:abstractNumId="6">
    <w:nsid w:val="3352255A"/>
    <w:multiLevelType w:val="hybridMultilevel"/>
    <w:lvl w:ilvl="0">
      <w:lvlJc w:val="left"/>
      <w:lvlText w:val="(%1)"/>
      <w:numFmt w:val="lowerRoman"/>
      <w:start w:val="7"/>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0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1."/>
      <w:numFmt w:val="upperLetter"/>
      <w:start w:val="1"/>
    </w:lvl>
    <w:lvl w:ilvl="1">
      <w:lvlJc w:val="left"/>
      <w:lvlText w:val="(%2)"/>
      <w:numFmt w:val="decimal"/>
      <w:start w:val="1"/>
    </w:lvl>
  </w:abstractNum>
  <w:abstractNum w:abstractNumId="15">
    <w:nsid w:val="519B500D"/>
    <w:multiLevelType w:val="hybridMultilevel"/>
    <w:lvl w:ilvl="0">
      <w:lvlJc w:val="left"/>
      <w:lvlText w:val="(%1)"/>
      <w:numFmt w:val="decimal"/>
      <w:start w:val="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62" Type="http://schemas.openxmlformats.org/officeDocument/2006/relationships/hyperlink" Target="http://www.sec.gov/Archives/edgar/data/789460/000162828023023518/exhibit41indenture.htm" TargetMode="External"/><Relationship Id="rId63" Type="http://schemas.openxmlformats.org/officeDocument/2006/relationships/hyperlink" Target="http://www.sec.gov/Archives/edgar/data/789460/000162828023023518/exhibit101purchaseagreement.htm" TargetMode="External"/><Relationship Id="rId64" Type="http://schemas.openxmlformats.org/officeDocument/2006/relationships/hyperlink" Target="http://www.sec.gov/Archives/edgar/data/789460/000162828023023518/exhibit102formofconvertibl.htm" TargetMode="External"/><Relationship Id="rId65" Type="http://schemas.openxmlformats.org/officeDocument/2006/relationships/hyperlink" Target="http://www.sec.gov/Archives/edgar/data/789460/000162828023023518/exhibit103formofwarr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2023-07-28T10:40:40Z</dcterms:created>
  <dcterms:modified xsi:type="dcterms:W3CDTF">2023-07-28T10:40:40Z</dcterms:modified>
</cp:coreProperties>
</file>