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5903595</wp:posOffset>
            </wp:positionH>
            <wp:positionV relativeFrom="page">
              <wp:posOffset>226060</wp:posOffset>
            </wp:positionV>
            <wp:extent cx="15005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00505" cy="8890"/>
                    </a:xfrm>
                    <a:prstGeom prst="rect">
                      <a:avLst/>
                    </a:prstGeom>
                    <a:noFill/>
                  </pic:spPr>
                </pic:pic>
              </a:graphicData>
            </a:graphic>
          </wp:anchor>
        </w:drawing>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5751195</wp:posOffset>
            </wp:positionH>
            <wp:positionV relativeFrom="paragraph">
              <wp:posOffset>88265</wp:posOffset>
            </wp:positionV>
            <wp:extent cx="15005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32" w:lineRule="exact"/>
        <w:rPr>
          <w:sz w:val="24"/>
          <w:szCs w:val="24"/>
          <w:color w:val="auto"/>
        </w:rPr>
      </w:pPr>
    </w:p>
    <w:tbl>
      <w:tblPr>
        <w:tblLayout w:type="fixed"/>
        <w:tblInd w:w="9140" w:type="dxa"/>
        <w:tblCellMar>
          <w:top w:w="0" w:type="dxa"/>
          <w:left w:w="0" w:type="dxa"/>
          <w:bottom w:w="0" w:type="dxa"/>
          <w:right w:w="0" w:type="dxa"/>
        </w:tblCellMar>
      </w:tblPr>
      <w:tr>
        <w:trPr>
          <w:trHeight w:val="222"/>
        </w:trPr>
        <w:tc>
          <w:tcPr>
            <w:tcW w:w="1300" w:type="dxa"/>
            <w:vAlign w:val="bottom"/>
          </w:tcPr>
          <w:p>
            <w:pPr>
              <w:spacing w:after="0"/>
              <w:rPr>
                <w:sz w:val="20"/>
                <w:szCs w:val="20"/>
                <w:color w:val="auto"/>
              </w:rPr>
            </w:pPr>
            <w:r>
              <w:rPr>
                <w:rFonts w:ascii="Arial" w:cs="Arial" w:eastAsia="Arial" w:hAnsi="Arial"/>
                <w:sz w:val="18"/>
                <w:szCs w:val="18"/>
                <w:color w:val="auto"/>
              </w:rPr>
              <w:t>OMB Number:</w:t>
            </w:r>
          </w:p>
        </w:tc>
        <w:tc>
          <w:tcPr>
            <w:tcW w:w="980" w:type="dxa"/>
            <w:vAlign w:val="bottom"/>
          </w:tcPr>
          <w:p>
            <w:pPr>
              <w:jc w:val="right"/>
              <w:spacing w:after="0"/>
              <w:rPr>
                <w:sz w:val="20"/>
                <w:szCs w:val="20"/>
                <w:color w:val="auto"/>
              </w:rPr>
            </w:pPr>
            <w:r>
              <w:rPr>
                <w:rFonts w:ascii="Arial" w:cs="Arial" w:eastAsia="Arial" w:hAnsi="Arial"/>
                <w:sz w:val="18"/>
                <w:szCs w:val="18"/>
                <w:color w:val="auto"/>
              </w:rPr>
              <w:t>3235-0145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5751195</wp:posOffset>
            </wp:positionH>
            <wp:positionV relativeFrom="paragraph">
              <wp:posOffset>69850</wp:posOffset>
            </wp:positionV>
            <wp:extent cx="15005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3" w:lineRule="exact"/>
        <w:rPr>
          <w:sz w:val="24"/>
          <w:szCs w:val="24"/>
          <w:color w:val="auto"/>
        </w:rPr>
      </w:pPr>
    </w:p>
    <w:p>
      <w:pPr>
        <w:ind w:left="9140"/>
        <w:spacing w:after="0"/>
        <w:rPr>
          <w:sz w:val="20"/>
          <w:szCs w:val="20"/>
          <w:color w:val="auto"/>
        </w:rPr>
      </w:pPr>
      <w:r>
        <w:rPr>
          <w:rFonts w:ascii="Arial" w:cs="Arial" w:eastAsia="Arial" w:hAnsi="Arial"/>
          <w:sz w:val="18"/>
          <w:szCs w:val="18"/>
          <w:color w:val="auto"/>
        </w:rPr>
        <w:t>Estimated average burden</w:t>
      </w:r>
    </w:p>
    <w:p>
      <w:pPr>
        <w:spacing w:after="0" w:line="15" w:lineRule="exact"/>
        <w:rPr>
          <w:sz w:val="24"/>
          <w:szCs w:val="24"/>
          <w:color w:val="auto"/>
        </w:rPr>
      </w:pPr>
    </w:p>
    <w:p>
      <w:pPr>
        <w:ind w:left="9140"/>
        <w:spacing w:after="0"/>
        <w:rPr>
          <w:sz w:val="20"/>
          <w:szCs w:val="20"/>
          <w:color w:val="auto"/>
        </w:rPr>
      </w:pPr>
      <w:r>
        <w:rPr>
          <w:rFonts w:ascii="Arial" w:cs="Arial" w:eastAsia="Arial" w:hAnsi="Arial"/>
          <w:sz w:val="16"/>
          <w:szCs w:val="16"/>
          <w:color w:val="auto"/>
        </w:rPr>
        <w:t>hours per response . . . 14.90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5751195</wp:posOffset>
            </wp:positionH>
            <wp:positionV relativeFrom="paragraph">
              <wp:posOffset>90170</wp:posOffset>
            </wp:positionV>
            <wp:extent cx="15005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INFORMATION STATEMENT TO BE INCLUDED IN STATEMENTS FILED PURSUANT TO RULES 13d-1 (b) (c) AND (d) AND AMENDMENTS THERETO FILED PURSUANT TO RULE 13d-2 (b)</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WORLD FUEL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981475106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83820</wp:posOffset>
            </wp:positionV>
            <wp:extent cx="2015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7" w:lineRule="exact"/>
        <w:rPr>
          <w:rFonts w:ascii="MS PGothic" w:cs="MS PGothic" w:eastAsia="MS PGothic" w:hAnsi="MS PGothic"/>
          <w:sz w:val="18"/>
          <w:szCs w:val="18"/>
          <w:color w:val="auto"/>
        </w:rPr>
      </w:pPr>
    </w:p>
    <w:p>
      <w:pPr>
        <w:ind w:right="20" w:firstLine="45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0" w:firstLine="456"/>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469" w:right="239" w:bottom="1440" w:gutter="0" w:footer="0" w:header="0"/>
        </w:sectPr>
      </w:pPr>
    </w:p>
    <w:bookmarkStart w:id="1" w:name="page2"/>
    <w:bookmarkEnd w:id="1"/>
    <w:p>
      <w:pPr>
        <w:ind w:left="360"/>
        <w:spacing w:after="0"/>
        <w:tabs>
          <w:tab w:leader="none" w:pos="5500" w:val="left"/>
          <w:tab w:leader="none" w:pos="9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981475106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80" w:hanging="38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S.S. or I.R.S. Identification of above person</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22"/>
          <w:szCs w:val="22"/>
          <w:color w:val="auto"/>
        </w:rPr>
        <w:t>NFJ INVESTMENT GROUP L.P. (IRS No. 75-2557611)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ind w:left="160"/>
              <w:spacing w:after="0"/>
              <w:rPr>
                <w:sz w:val="20"/>
                <w:szCs w:val="20"/>
                <w:color w:val="auto"/>
              </w:rPr>
            </w:pPr>
            <w:r>
              <w:rPr>
                <w:rFonts w:ascii="Arial" w:cs="Arial" w:eastAsia="Arial" w:hAnsi="Arial"/>
                <w:sz w:val="22"/>
                <w:szCs w:val="22"/>
                <w:color w:val="auto"/>
              </w:rPr>
              <w:t>426,600</w:t>
            </w: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4"/>
              </w:rPr>
              <w:t>NUMBER OF</w:t>
            </w: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580" w:type="dxa"/>
            <w:vAlign w:val="bottom"/>
            <w:vMerge w:val="continue"/>
          </w:tcPr>
          <w:p>
            <w:pPr>
              <w:spacing w:after="0"/>
              <w:rPr>
                <w:sz w:val="13"/>
                <w:szCs w:val="13"/>
                <w:color w:val="auto"/>
              </w:rPr>
            </w:pP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6.</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89"/>
              </w:rPr>
              <w:t>SHARES</w:t>
            </w:r>
          </w:p>
        </w:tc>
        <w:tc>
          <w:tcPr>
            <w:tcW w:w="320" w:type="dxa"/>
            <w:vAlign w:val="bottom"/>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320" w:type="dxa"/>
            <w:vAlign w:val="bottom"/>
          </w:tcPr>
          <w:p>
            <w:pPr>
              <w:spacing w:after="0"/>
              <w:rPr>
                <w:sz w:val="18"/>
                <w:szCs w:val="18"/>
                <w:color w:val="auto"/>
              </w:rPr>
            </w:pPr>
          </w:p>
        </w:tc>
        <w:tc>
          <w:tcPr>
            <w:tcW w:w="9380" w:type="dxa"/>
            <w:vAlign w:val="bottom"/>
            <w:vMerge w:val="restart"/>
          </w:tcPr>
          <w:p>
            <w:pPr>
              <w:ind w:left="160"/>
              <w:spacing w:after="0"/>
              <w:rPr>
                <w:sz w:val="20"/>
                <w:szCs w:val="20"/>
                <w:color w:val="auto"/>
              </w:rPr>
            </w:pPr>
            <w:r>
              <w:rPr>
                <w:rFonts w:ascii="Arial" w:cs="Arial" w:eastAsia="Arial" w:hAnsi="Arial"/>
                <w:sz w:val="22"/>
                <w:szCs w:val="22"/>
                <w:color w:val="auto"/>
              </w:rPr>
              <w:t>313,450</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OWNED BY</w:t>
            </w: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1"/>
              </w:rPr>
              <w:t>EACH</w:t>
            </w:r>
          </w:p>
        </w:tc>
        <w:tc>
          <w:tcPr>
            <w:tcW w:w="320" w:type="dxa"/>
            <w:vAlign w:val="bottom"/>
            <w:vMerge w:val="restart"/>
          </w:tcPr>
          <w:p>
            <w:pPr>
              <w:jc w:val="right"/>
              <w:ind w:right="12"/>
              <w:spacing w:after="0"/>
              <w:rPr>
                <w:sz w:val="20"/>
                <w:szCs w:val="20"/>
                <w:color w:val="auto"/>
              </w:rPr>
            </w:pPr>
            <w:r>
              <w:rPr>
                <w:rFonts w:ascii="Arial" w:cs="Arial" w:eastAsia="Arial" w:hAnsi="Arial"/>
                <w:sz w:val="18"/>
                <w:szCs w:val="18"/>
                <w:color w:val="auto"/>
              </w:rPr>
              <w:t>7.</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REPORTING</w:t>
            </w:r>
          </w:p>
        </w:tc>
        <w:tc>
          <w:tcPr>
            <w:tcW w:w="320" w:type="dxa"/>
            <w:vAlign w:val="bottom"/>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6"/>
              </w:rPr>
              <w:t>PERSON</w:t>
            </w:r>
          </w:p>
        </w:tc>
        <w:tc>
          <w:tcPr>
            <w:tcW w:w="320" w:type="dxa"/>
            <w:vAlign w:val="bottom"/>
          </w:tcPr>
          <w:p>
            <w:pPr>
              <w:spacing w:after="0"/>
              <w:rPr>
                <w:sz w:val="21"/>
                <w:szCs w:val="21"/>
                <w:color w:val="auto"/>
              </w:rPr>
            </w:pPr>
          </w:p>
        </w:tc>
        <w:tc>
          <w:tcPr>
            <w:tcW w:w="9380" w:type="dxa"/>
            <w:vAlign w:val="bottom"/>
          </w:tcPr>
          <w:p>
            <w:pPr>
              <w:ind w:left="160"/>
              <w:spacing w:after="0" w:line="251" w:lineRule="exact"/>
              <w:rPr>
                <w:sz w:val="20"/>
                <w:szCs w:val="20"/>
                <w:color w:val="auto"/>
              </w:rPr>
            </w:pPr>
            <w:r>
              <w:rPr>
                <w:rFonts w:ascii="Arial" w:cs="Arial" w:eastAsia="Arial" w:hAnsi="Arial"/>
                <w:sz w:val="22"/>
                <w:szCs w:val="22"/>
                <w:color w:val="auto"/>
              </w:rPr>
              <w:t>740,050</w:t>
            </w:r>
          </w:p>
        </w:tc>
        <w:tc>
          <w:tcPr>
            <w:tcW w:w="0" w:type="dxa"/>
            <w:vAlign w:val="bottom"/>
          </w:tcPr>
          <w:p>
            <w:pPr>
              <w:spacing w:after="0"/>
              <w:rPr>
                <w:sz w:val="1"/>
                <w:szCs w:val="1"/>
                <w:color w:val="auto"/>
              </w:rPr>
            </w:pPr>
          </w:p>
        </w:tc>
      </w:tr>
      <w:tr>
        <w:trPr>
          <w:trHeight w:val="162"/>
        </w:trPr>
        <w:tc>
          <w:tcPr>
            <w:tcW w:w="1580" w:type="dxa"/>
            <w:vAlign w:val="bottom"/>
          </w:tcPr>
          <w:p>
            <w:pPr>
              <w:jc w:val="center"/>
              <w:ind w:right="272"/>
              <w:spacing w:after="0" w:line="162"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1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384"/>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740,050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line="207" w:lineRule="exact"/>
        <w:tabs>
          <w:tab w:leader="none" w:pos="460" w:val="left"/>
          <w:tab w:leader="none" w:pos="10720" w:val="left"/>
        </w:tabs>
        <w:rPr>
          <w:sz w:val="20"/>
          <w:szCs w:val="20"/>
          <w:color w:val="auto"/>
        </w:rPr>
      </w:pPr>
      <w:r>
        <w:rPr>
          <w:rFonts w:ascii="Arial" w:cs="Arial" w:eastAsia="Arial" w:hAnsi="Arial"/>
          <w:sz w:val="18"/>
          <w:szCs w:val="18"/>
          <w:color w:val="auto"/>
        </w:rPr>
        <w:t>10.</w:t>
        <w:tab/>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45" w:lineRule="exact"/>
        <w:rPr>
          <w:sz w:val="20"/>
          <w:szCs w:val="20"/>
          <w:color w:val="auto"/>
        </w:rPr>
      </w:pPr>
    </w:p>
    <w:p>
      <w:pPr>
        <w:ind w:left="4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 BEFORE FILLING OUT!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0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9"/>
          </w:tcPr>
          <w:p>
            <w:pPr>
              <w:spacing w:after="0"/>
              <w:rPr>
                <w:sz w:val="20"/>
                <w:szCs w:val="20"/>
                <w:color w:val="auto"/>
              </w:rPr>
            </w:pPr>
            <w:r>
              <w:rPr>
                <w:rFonts w:ascii="Arial" w:cs="Arial" w:eastAsia="Arial" w:hAnsi="Arial"/>
                <w:sz w:val="18"/>
                <w:szCs w:val="18"/>
                <w:b w:val="1"/>
                <w:bCs w:val="1"/>
                <w:color w:val="auto"/>
              </w:rPr>
              <w:t>Name of Issuer:</w:t>
            </w:r>
          </w:p>
        </w:tc>
      </w:tr>
      <w:tr>
        <w:trPr>
          <w:trHeight w:val="20"/>
        </w:trPr>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5"/>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80" w:type="dxa"/>
            <w:vAlign w:val="bottom"/>
            <w:gridSpan w:val="9"/>
          </w:tcPr>
          <w:p>
            <w:pPr>
              <w:spacing w:after="0"/>
              <w:rPr>
                <w:sz w:val="20"/>
                <w:szCs w:val="20"/>
                <w:color w:val="auto"/>
              </w:rPr>
            </w:pPr>
            <w:r>
              <w:rPr>
                <w:rFonts w:ascii="Arial" w:cs="Arial" w:eastAsia="Arial" w:hAnsi="Arial"/>
                <w:sz w:val="18"/>
                <w:szCs w:val="18"/>
                <w:color w:val="auto"/>
              </w:rPr>
              <w:t>World Fuel Services Corp.</w:t>
            </w:r>
          </w:p>
        </w:tc>
      </w:tr>
      <w:tr>
        <w:trPr>
          <w:trHeight w:val="299"/>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9"/>
          </w:tcPr>
          <w:p>
            <w:pPr>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28"/>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00" w:type="dxa"/>
            <w:vAlign w:val="bottom"/>
            <w:tcBorders>
              <w:top w:val="single" w:sz="8" w:color="auto"/>
            </w:tcBorders>
            <w:gridSpan w:val="7"/>
          </w:tcPr>
          <w:p>
            <w:pPr>
              <w:spacing w:after="0" w:line="228" w:lineRule="exact"/>
              <w:rPr>
                <w:sz w:val="20"/>
                <w:szCs w:val="20"/>
                <w:color w:val="auto"/>
              </w:rPr>
            </w:pPr>
            <w:r>
              <w:rPr>
                <w:rFonts w:ascii="Arial" w:cs="Arial" w:eastAsia="Arial" w:hAnsi="Arial"/>
                <w:sz w:val="18"/>
                <w:szCs w:val="18"/>
                <w:color w:val="auto"/>
              </w:rPr>
              <w:t>9800 N.W. 41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Street, Suite 400</w:t>
            </w:r>
          </w:p>
        </w:tc>
        <w:tc>
          <w:tcPr>
            <w:tcW w:w="5080" w:type="dxa"/>
            <w:vAlign w:val="bottom"/>
            <w:gridSpan w:val="2"/>
          </w:tcPr>
          <w:p>
            <w:pPr>
              <w:spacing w:after="0"/>
              <w:rPr>
                <w:sz w:val="19"/>
                <w:szCs w:val="19"/>
                <w:color w:val="auto"/>
              </w:rPr>
            </w:pP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580" w:type="dxa"/>
            <w:vAlign w:val="bottom"/>
            <w:gridSpan w:val="9"/>
          </w:tcPr>
          <w:p>
            <w:pPr>
              <w:spacing w:after="0"/>
              <w:rPr>
                <w:sz w:val="20"/>
                <w:szCs w:val="20"/>
                <w:color w:val="auto"/>
              </w:rPr>
            </w:pPr>
            <w:r>
              <w:rPr>
                <w:rFonts w:ascii="Arial" w:cs="Arial" w:eastAsia="Arial" w:hAnsi="Arial"/>
                <w:sz w:val="18"/>
                <w:szCs w:val="18"/>
                <w:color w:val="auto"/>
              </w:rPr>
              <w:t>Miami, Florida 33178</w:t>
            </w:r>
          </w:p>
        </w:tc>
      </w:tr>
      <w:tr>
        <w:trPr>
          <w:trHeight w:val="299"/>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20" w:type="dxa"/>
            <w:vAlign w:val="bottom"/>
          </w:tcPr>
          <w:p>
            <w:pPr>
              <w:spacing w:after="0"/>
              <w:rPr>
                <w:sz w:val="20"/>
                <w:szCs w:val="20"/>
                <w:color w:val="auto"/>
              </w:rPr>
            </w:pPr>
            <w:r>
              <w:rPr>
                <w:rFonts w:ascii="Arial" w:cs="Arial" w:eastAsia="Arial" w:hAnsi="Arial"/>
                <w:sz w:val="18"/>
                <w:szCs w:val="18"/>
                <w:color w:val="auto"/>
              </w:rPr>
              <w:t>(a)</w:t>
            </w:r>
          </w:p>
        </w:tc>
        <w:tc>
          <w:tcPr>
            <w:tcW w:w="8580" w:type="dxa"/>
            <w:vAlign w:val="bottom"/>
            <w:gridSpan w:val="9"/>
          </w:tcPr>
          <w:p>
            <w:pPr>
              <w:spacing w:after="0"/>
              <w:rPr>
                <w:sz w:val="20"/>
                <w:szCs w:val="20"/>
                <w:color w:val="auto"/>
              </w:rPr>
            </w:pPr>
            <w:r>
              <w:rPr>
                <w:rFonts w:ascii="Arial" w:cs="Arial" w:eastAsia="Arial" w:hAnsi="Arial"/>
                <w:sz w:val="18"/>
                <w:szCs w:val="18"/>
                <w:b w:val="1"/>
                <w:bCs w:val="1"/>
                <w:color w:val="auto"/>
              </w:rPr>
              <w:t>Name of Person Filing:</w:t>
            </w:r>
          </w:p>
        </w:tc>
      </w:tr>
      <w:tr>
        <w:trPr>
          <w:trHeight w:val="20"/>
        </w:trPr>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5"/>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80" w:type="dxa"/>
            <w:vAlign w:val="bottom"/>
            <w:gridSpan w:val="9"/>
          </w:tcPr>
          <w:p>
            <w:pPr>
              <w:spacing w:after="0"/>
              <w:rPr>
                <w:sz w:val="20"/>
                <w:szCs w:val="20"/>
                <w:color w:val="auto"/>
              </w:rPr>
            </w:pPr>
            <w:r>
              <w:rPr>
                <w:rFonts w:ascii="Arial" w:cs="Arial" w:eastAsia="Arial" w:hAnsi="Arial"/>
                <w:sz w:val="18"/>
                <w:szCs w:val="18"/>
                <w:color w:val="auto"/>
              </w:rPr>
              <w:t>NFJ Investment Group L.P.</w:t>
            </w:r>
          </w:p>
        </w:tc>
      </w:tr>
      <w:tr>
        <w:trPr>
          <w:trHeight w:val="299"/>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9"/>
          </w:tcPr>
          <w:p>
            <w:pPr>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28"/>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7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2"/>
              </w:rPr>
              <w:t>2121 San Jancinto Street, Suite 1840</w:t>
            </w:r>
          </w:p>
        </w:tc>
        <w:tc>
          <w:tcPr>
            <w:tcW w:w="5800" w:type="dxa"/>
            <w:vAlign w:val="bottom"/>
            <w:gridSpan w:val="3"/>
          </w:tcPr>
          <w:p>
            <w:pPr>
              <w:spacing w:after="0"/>
              <w:rPr>
                <w:sz w:val="19"/>
                <w:szCs w:val="19"/>
                <w:color w:val="auto"/>
              </w:rPr>
            </w:pP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580" w:type="dxa"/>
            <w:vAlign w:val="bottom"/>
            <w:gridSpan w:val="9"/>
          </w:tcPr>
          <w:p>
            <w:pPr>
              <w:spacing w:after="0"/>
              <w:rPr>
                <w:sz w:val="20"/>
                <w:szCs w:val="20"/>
                <w:color w:val="auto"/>
              </w:rPr>
            </w:pPr>
            <w:r>
              <w:rPr>
                <w:rFonts w:ascii="Arial" w:cs="Arial" w:eastAsia="Arial" w:hAnsi="Arial"/>
                <w:sz w:val="18"/>
                <w:szCs w:val="18"/>
                <w:color w:val="auto"/>
              </w:rPr>
              <w:t>Dallas, Texas 75201</w:t>
            </w:r>
          </w:p>
        </w:tc>
      </w:tr>
      <w:tr>
        <w:trPr>
          <w:trHeight w:val="299"/>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(c)</w:t>
            </w:r>
          </w:p>
        </w:tc>
        <w:tc>
          <w:tcPr>
            <w:tcW w:w="8580" w:type="dxa"/>
            <w:vAlign w:val="bottom"/>
            <w:gridSpan w:val="9"/>
          </w:tcPr>
          <w:p>
            <w:pPr>
              <w:spacing w:after="0"/>
              <w:rPr>
                <w:sz w:val="20"/>
                <w:szCs w:val="20"/>
                <w:color w:val="auto"/>
              </w:rPr>
            </w:pPr>
            <w:r>
              <w:rPr>
                <w:rFonts w:ascii="Arial" w:cs="Arial" w:eastAsia="Arial" w:hAnsi="Arial"/>
                <w:sz w:val="18"/>
                <w:szCs w:val="18"/>
                <w:b w:val="1"/>
                <w:bCs w:val="1"/>
                <w:color w:val="auto"/>
              </w:rPr>
              <w:t>Citizenship:</w:t>
            </w:r>
          </w:p>
        </w:tc>
      </w:tr>
      <w:tr>
        <w:trPr>
          <w:trHeight w:val="20"/>
        </w:trPr>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5"/>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580" w:type="dxa"/>
            <w:vAlign w:val="bottom"/>
            <w:gridSpan w:val="9"/>
          </w:tcPr>
          <w:p>
            <w:pPr>
              <w:spacing w:after="0"/>
              <w:rPr>
                <w:sz w:val="20"/>
                <w:szCs w:val="20"/>
                <w:color w:val="auto"/>
              </w:rPr>
            </w:pPr>
            <w:r>
              <w:rPr>
                <w:rFonts w:ascii="Arial" w:cs="Arial" w:eastAsia="Arial" w:hAnsi="Arial"/>
                <w:sz w:val="18"/>
                <w:szCs w:val="18"/>
                <w:color w:val="auto"/>
              </w:rPr>
              <w:t>Not Applicable.</w:t>
            </w:r>
          </w:p>
        </w:tc>
      </w:tr>
      <w:tr>
        <w:trPr>
          <w:trHeight w:val="299"/>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(d)</w:t>
            </w:r>
          </w:p>
        </w:tc>
        <w:tc>
          <w:tcPr>
            <w:tcW w:w="8580" w:type="dxa"/>
            <w:vAlign w:val="bottom"/>
            <w:gridSpan w:val="9"/>
          </w:tcPr>
          <w:p>
            <w:pPr>
              <w:spacing w:after="0"/>
              <w:rPr>
                <w:sz w:val="20"/>
                <w:szCs w:val="20"/>
                <w:color w:val="auto"/>
              </w:rPr>
            </w:pPr>
            <w:r>
              <w:rPr>
                <w:rFonts w:ascii="Arial" w:cs="Arial" w:eastAsia="Arial" w:hAnsi="Arial"/>
                <w:sz w:val="18"/>
                <w:szCs w:val="18"/>
                <w:b w:val="1"/>
                <w:bCs w:val="1"/>
                <w:color w:val="auto"/>
              </w:rPr>
              <w:t>Title of Class of Securities:</w:t>
            </w:r>
          </w:p>
        </w:tc>
      </w:tr>
      <w:tr>
        <w:trPr>
          <w:trHeight w:val="235"/>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Common Stock</w:t>
            </w:r>
          </w:p>
        </w:tc>
        <w:tc>
          <w:tcPr>
            <w:tcW w:w="6580" w:type="dxa"/>
            <w:vAlign w:val="bottom"/>
            <w:gridSpan w:val="4"/>
          </w:tcPr>
          <w:p>
            <w:pPr>
              <w:spacing w:after="0"/>
              <w:rPr>
                <w:sz w:val="20"/>
                <w:szCs w:val="20"/>
                <w:color w:val="auto"/>
              </w:rPr>
            </w:pPr>
          </w:p>
        </w:tc>
      </w:tr>
      <w:tr>
        <w:trPr>
          <w:trHeight w:val="299"/>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(e)</w:t>
            </w:r>
          </w:p>
        </w:tc>
        <w:tc>
          <w:tcPr>
            <w:tcW w:w="8580" w:type="dxa"/>
            <w:vAlign w:val="bottom"/>
            <w:gridSpan w:val="9"/>
          </w:tcPr>
          <w:p>
            <w:pPr>
              <w:spacing w:after="0"/>
              <w:rPr>
                <w:sz w:val="20"/>
                <w:szCs w:val="20"/>
                <w:color w:val="auto"/>
              </w:rPr>
            </w:pPr>
            <w:r>
              <w:rPr>
                <w:rFonts w:ascii="Arial" w:cs="Arial" w:eastAsia="Arial" w:hAnsi="Arial"/>
                <w:sz w:val="18"/>
                <w:szCs w:val="18"/>
                <w:b w:val="1"/>
                <w:bCs w:val="1"/>
                <w:color w:val="auto"/>
              </w:rPr>
              <w:t>CUSIP Number:</w:t>
            </w:r>
          </w:p>
        </w:tc>
      </w:tr>
      <w:tr>
        <w:trPr>
          <w:trHeight w:val="235"/>
        </w:trPr>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981475106</w:t>
            </w: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99"/>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00" w:type="dxa"/>
            <w:vAlign w:val="bottom"/>
            <w:gridSpan w:val="10"/>
          </w:tcPr>
          <w:p>
            <w:pPr>
              <w:spacing w:after="0"/>
              <w:rPr>
                <w:sz w:val="20"/>
                <w:szCs w:val="20"/>
                <w:color w:val="auto"/>
              </w:rPr>
            </w:pPr>
            <w:r>
              <w:rPr>
                <w:rFonts w:ascii="Arial" w:cs="Arial" w:eastAsia="Arial" w:hAnsi="Arial"/>
                <w:sz w:val="18"/>
                <w:szCs w:val="18"/>
                <w:b w:val="1"/>
                <w:bCs w:val="1"/>
                <w:color w:val="auto"/>
              </w:rPr>
              <w:t>If this statement is filed pursuant to Rule 13d-1(b), or 13d-2(b), check whether the person filing is a:</w:t>
            </w:r>
          </w:p>
        </w:tc>
      </w:tr>
      <w:tr>
        <w:trPr>
          <w:trHeight w:val="363"/>
        </w:trPr>
        <w:tc>
          <w:tcPr>
            <w:tcW w:w="800" w:type="dxa"/>
            <w:vAlign w:val="bottom"/>
          </w:tcPr>
          <w:p>
            <w:pPr>
              <w:spacing w:after="0"/>
              <w:rPr>
                <w:sz w:val="24"/>
                <w:szCs w:val="24"/>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6600" w:type="dxa"/>
            <w:vAlign w:val="bottom"/>
            <w:tcBorders>
              <w:top w:val="single" w:sz="8" w:color="auto"/>
            </w:tcBorders>
            <w:gridSpan w:val="8"/>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tc>
        <w:tc>
          <w:tcPr>
            <w:tcW w:w="198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(b)</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tc>
      </w:tr>
      <w:tr>
        <w:trPr>
          <w:trHeight w:val="32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(c)</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tc>
      </w:tr>
      <w:tr>
        <w:trPr>
          <w:trHeight w:val="32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(d)</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tc>
      </w:tr>
      <w:tr>
        <w:trPr>
          <w:trHeight w:val="32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(e)</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registered under Section 203 of the Investment Advisors Act of 1940;</w:t>
            </w:r>
          </w:p>
        </w:tc>
      </w:tr>
      <w:tr>
        <w:trPr>
          <w:trHeight w:val="32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(f)</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tc>
      </w:tr>
      <w:tr>
        <w:trPr>
          <w:trHeight w:val="32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(g)</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13d-1(b)(ii)(G);</w:t>
            </w:r>
          </w:p>
        </w:tc>
      </w:tr>
      <w:tr>
        <w:trPr>
          <w:trHeight w:val="32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(h)</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tc>
      </w:tr>
      <w:tr>
        <w:trPr>
          <w:trHeight w:val="298"/>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Church plan that is excluded from the definition of an investment company under Section 3(c)(14) of the Investment</w:t>
            </w:r>
          </w:p>
        </w:tc>
      </w:tr>
      <w:tr>
        <w:trPr>
          <w:trHeight w:val="222"/>
        </w:trPr>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580" w:type="dxa"/>
            <w:vAlign w:val="bottom"/>
            <w:gridSpan w:val="9"/>
          </w:tcPr>
          <w:p>
            <w:pPr>
              <w:ind w:left="400"/>
              <w:spacing w:after="0"/>
              <w:rPr>
                <w:sz w:val="20"/>
                <w:szCs w:val="20"/>
                <w:color w:val="auto"/>
              </w:rPr>
            </w:pPr>
            <w:r>
              <w:rPr>
                <w:rFonts w:ascii="Arial" w:cs="Arial" w:eastAsia="Arial" w:hAnsi="Arial"/>
                <w:sz w:val="18"/>
                <w:szCs w:val="18"/>
                <w:color w:val="auto"/>
              </w:rPr>
              <w:t>Company Act;</w:t>
            </w:r>
          </w:p>
        </w:tc>
      </w:tr>
      <w:tr>
        <w:trPr>
          <w:trHeight w:val="344"/>
        </w:trPr>
        <w:tc>
          <w:tcPr>
            <w:tcW w:w="8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(j)</w:t>
            </w:r>
          </w:p>
        </w:tc>
        <w:tc>
          <w:tcPr>
            <w:tcW w:w="8580" w:type="dxa"/>
            <w:vAlign w:val="bottom"/>
            <w:gridSpan w:val="9"/>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13d-1(b)(1)(ii)(H).</w:t>
            </w:r>
          </w:p>
        </w:tc>
      </w:tr>
      <w:tr>
        <w:trPr>
          <w:trHeight w:val="324"/>
        </w:trPr>
        <w:tc>
          <w:tcPr>
            <w:tcW w:w="800" w:type="dxa"/>
            <w:vAlign w:val="bottom"/>
          </w:tcPr>
          <w:p>
            <w:pPr>
              <w:spacing w:after="0"/>
              <w:rPr>
                <w:sz w:val="24"/>
                <w:szCs w:val="24"/>
                <w:color w:val="auto"/>
              </w:rPr>
            </w:pPr>
          </w:p>
        </w:tc>
        <w:tc>
          <w:tcPr>
            <w:tcW w:w="9400" w:type="dxa"/>
            <w:vAlign w:val="bottom"/>
            <w:gridSpan w:val="10"/>
          </w:tcPr>
          <w:p>
            <w:pPr>
              <w:spacing w:after="0" w:line="207" w:lineRule="exact"/>
              <w:rPr>
                <w:sz w:val="20"/>
                <w:szCs w:val="20"/>
                <w:color w:val="auto"/>
              </w:rPr>
            </w:pPr>
            <w:r>
              <w:rPr>
                <w:rFonts w:ascii="Arial" w:cs="Arial" w:eastAsia="Arial" w:hAnsi="Arial"/>
                <w:sz w:val="18"/>
                <w:szCs w:val="18"/>
                <w:color w:val="auto"/>
              </w:rPr>
              <w:t xml:space="preserve">If this statement is filed pursuant to Rule 13d-1(c), check this box. </w:t>
            </w:r>
            <w:r>
              <w:rPr>
                <w:rFonts w:ascii="MS PGothic" w:cs="MS PGothic" w:eastAsia="MS PGothic" w:hAnsi="MS PGothic"/>
                <w:sz w:val="18"/>
                <w:szCs w:val="18"/>
                <w:color w:val="auto"/>
              </w:rPr>
              <w:t>☐</w:t>
            </w:r>
          </w:p>
        </w:tc>
      </w:tr>
      <w:tr>
        <w:trPr>
          <w:trHeight w:val="709"/>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0" w:type="dxa"/>
            <w:vAlign w:val="bottom"/>
            <w:gridSpan w:val="8"/>
          </w:tcPr>
          <w:p>
            <w:pPr>
              <w:ind w:left="4060"/>
              <w:spacing w:after="0"/>
              <w:rPr>
                <w:sz w:val="20"/>
                <w:szCs w:val="20"/>
                <w:color w:val="auto"/>
              </w:rPr>
            </w:pPr>
            <w:r>
              <w:rPr>
                <w:rFonts w:ascii="Arial" w:cs="Arial" w:eastAsia="Arial" w:hAnsi="Arial"/>
                <w:sz w:val="18"/>
                <w:szCs w:val="18"/>
                <w:color w:val="auto"/>
              </w:rPr>
              <w:t>3</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 w:name="page4"/>
    <w:bookmarkEnd w:id="3"/>
    <w:p>
      <w:pPr>
        <w:spacing w:after="0"/>
        <w:tabs>
          <w:tab w:leader="none" w:pos="7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u w:val="single" w:color="auto"/>
          <w:color w:val="auto"/>
        </w:rPr>
        <w:t>Ownership</w:t>
      </w:r>
      <w:r>
        <w:rPr>
          <w:rFonts w:ascii="Arial" w:cs="Arial" w:eastAsia="Arial" w:hAnsi="Arial"/>
          <w:sz w:val="15"/>
          <w:szCs w:val="15"/>
          <w:b w:val="1"/>
          <w:bCs w:val="1"/>
          <w:color w:val="auto"/>
        </w:rPr>
        <w:t>.</w:t>
      </w:r>
    </w:p>
    <w:p>
      <w:pPr>
        <w:spacing w:after="0" w:line="117" w:lineRule="exact"/>
        <w:rPr>
          <w:sz w:val="20"/>
          <w:szCs w:val="20"/>
          <w:color w:val="auto"/>
        </w:rPr>
      </w:pPr>
    </w:p>
    <w:p>
      <w:pPr>
        <w:ind w:left="1220" w:hanging="429"/>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740,050**</w:t>
      </w:r>
    </w:p>
    <w:p>
      <w:pPr>
        <w:spacing w:after="0" w:line="117" w:lineRule="exact"/>
        <w:rPr>
          <w:rFonts w:ascii="Arial" w:cs="Arial" w:eastAsia="Arial" w:hAnsi="Arial"/>
          <w:sz w:val="18"/>
          <w:szCs w:val="18"/>
          <w:color w:val="auto"/>
        </w:rPr>
      </w:pPr>
    </w:p>
    <w:p>
      <w:pPr>
        <w:ind w:left="1220" w:hanging="429"/>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6.9**</w:t>
      </w:r>
    </w:p>
    <w:p>
      <w:pPr>
        <w:spacing w:after="0" w:line="123" w:lineRule="exact"/>
        <w:rPr>
          <w:rFonts w:ascii="Arial" w:cs="Arial" w:eastAsia="Arial" w:hAnsi="Arial"/>
          <w:sz w:val="18"/>
          <w:szCs w:val="18"/>
          <w:color w:val="auto"/>
        </w:rPr>
      </w:pPr>
    </w:p>
    <w:p>
      <w:pPr>
        <w:ind w:left="1220" w:hanging="429"/>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1" w:lineRule="exact"/>
        <w:rPr>
          <w:rFonts w:ascii="Arial" w:cs="Arial" w:eastAsia="Arial" w:hAnsi="Arial"/>
          <w:sz w:val="18"/>
          <w:szCs w:val="18"/>
          <w:color w:val="auto"/>
        </w:rPr>
      </w:pPr>
    </w:p>
    <w:p>
      <w:pPr>
        <w:ind w:left="1680" w:hanging="470"/>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vote or direct the vote:  </w:t>
      </w:r>
      <w:r>
        <w:rPr>
          <w:rFonts w:ascii="Arial" w:cs="Arial" w:eastAsia="Arial" w:hAnsi="Arial"/>
          <w:sz w:val="18"/>
          <w:szCs w:val="18"/>
          <w:b w:val="1"/>
          <w:bCs w:val="1"/>
          <w:color w:val="auto"/>
        </w:rPr>
        <w:t>426,600**</w:t>
      </w:r>
    </w:p>
    <w:p>
      <w:pPr>
        <w:spacing w:after="0" w:line="117" w:lineRule="exact"/>
        <w:rPr>
          <w:rFonts w:ascii="Arial" w:cs="Arial" w:eastAsia="Arial" w:hAnsi="Arial"/>
          <w:sz w:val="18"/>
          <w:szCs w:val="18"/>
          <w:color w:val="auto"/>
        </w:rPr>
      </w:pPr>
    </w:p>
    <w:p>
      <w:pPr>
        <w:ind w:left="1680" w:hanging="470"/>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Shared power to vote:  </w:t>
      </w:r>
      <w:r>
        <w:rPr>
          <w:rFonts w:ascii="Arial" w:cs="Arial" w:eastAsia="Arial" w:hAnsi="Arial"/>
          <w:sz w:val="18"/>
          <w:szCs w:val="18"/>
          <w:b w:val="1"/>
          <w:bCs w:val="1"/>
          <w:color w:val="auto"/>
        </w:rPr>
        <w:t>313,450</w:t>
      </w:r>
    </w:p>
    <w:p>
      <w:pPr>
        <w:spacing w:after="0" w:line="117" w:lineRule="exact"/>
        <w:rPr>
          <w:rFonts w:ascii="Arial" w:cs="Arial" w:eastAsia="Arial" w:hAnsi="Arial"/>
          <w:sz w:val="18"/>
          <w:szCs w:val="18"/>
          <w:color w:val="auto"/>
        </w:rPr>
      </w:pPr>
    </w:p>
    <w:p>
      <w:pPr>
        <w:ind w:left="1680" w:hanging="470"/>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dispose or direct the disposition of:  </w:t>
      </w:r>
      <w:r>
        <w:rPr>
          <w:rFonts w:ascii="Arial" w:cs="Arial" w:eastAsia="Arial" w:hAnsi="Arial"/>
          <w:sz w:val="18"/>
          <w:szCs w:val="18"/>
          <w:b w:val="1"/>
          <w:bCs w:val="1"/>
          <w:color w:val="auto"/>
        </w:rPr>
        <w:t>740,050**</w:t>
      </w:r>
    </w:p>
    <w:p>
      <w:pPr>
        <w:spacing w:after="0" w:line="117" w:lineRule="exact"/>
        <w:rPr>
          <w:rFonts w:ascii="Arial" w:cs="Arial" w:eastAsia="Arial" w:hAnsi="Arial"/>
          <w:sz w:val="18"/>
          <w:szCs w:val="18"/>
          <w:color w:val="auto"/>
        </w:rPr>
      </w:pPr>
    </w:p>
    <w:p>
      <w:pPr>
        <w:ind w:left="1680" w:hanging="470"/>
        <w:spacing w:after="0"/>
        <w:tabs>
          <w:tab w:leader="none" w:pos="1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Shared power to dispose or direct the disposition of:  </w:t>
      </w:r>
      <w:r>
        <w:rPr>
          <w:rFonts w:ascii="Arial" w:cs="Arial" w:eastAsia="Arial" w:hAnsi="Arial"/>
          <w:sz w:val="18"/>
          <w:szCs w:val="18"/>
          <w:b w:val="1"/>
          <w:bCs w:val="1"/>
          <w:color w:val="auto"/>
        </w:rPr>
        <w:t>-0-</w:t>
      </w:r>
    </w:p>
    <w:p>
      <w:pPr>
        <w:spacing w:after="0" w:line="164"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**This report is being filed on behalf of NFJ Investment Group L.P., a Delaware limited partnership and/or certain investment advisory clients or discretionary accounts relating to their collective beneficial ownership of shares of common stock of the Issuer. NFJ Investment Group L.P. is a registered investment adviser under Section 203 of the Investment Advisers Act of 1940. As a result of its role as investment adviser NFJ Investment Group L.P. may be deemed to be the beneficial owner of the securities of the Issuer. NFJ Investment Group L.P. has the sole power to dispose of the shares and to vote the shares under its written guidelines.</w:t>
      </w:r>
    </w:p>
    <w:p>
      <w:pPr>
        <w:spacing w:after="0" w:line="23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u w:val="single" w:color="auto"/>
          <w:color w:val="auto"/>
        </w:rPr>
        <w:t>Ownership of Five Percent or Less of a Class</w:t>
      </w:r>
      <w:r>
        <w:rPr>
          <w:rFonts w:ascii="Arial" w:cs="Arial" w:eastAsia="Arial" w:hAnsi="Arial"/>
          <w:sz w:val="15"/>
          <w:szCs w:val="15"/>
          <w:b w:val="1"/>
          <w:bCs w:val="1"/>
          <w:color w:val="auto"/>
        </w:rPr>
        <w:t>.</w:t>
      </w:r>
    </w:p>
    <w:p>
      <w:pPr>
        <w:spacing w:after="0" w:line="177" w:lineRule="exact"/>
        <w:rPr>
          <w:sz w:val="20"/>
          <w:szCs w:val="20"/>
          <w:color w:val="auto"/>
        </w:rPr>
      </w:pPr>
    </w:p>
    <w:p>
      <w:pPr>
        <w:ind w:left="460" w:firstLine="438"/>
        <w:spacing w:after="0" w:line="229"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2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u w:val="single" w:color="auto"/>
          <w:color w:val="auto"/>
        </w:rPr>
        <w:t>Ownership of More than Five Percent on Behalf of Another Person</w:t>
      </w:r>
      <w:r>
        <w:rPr>
          <w:rFonts w:ascii="Arial" w:cs="Arial" w:eastAsia="Arial" w:hAnsi="Arial"/>
          <w:sz w:val="15"/>
          <w:szCs w:val="15"/>
          <w:b w:val="1"/>
          <w:bCs w:val="1"/>
          <w:color w:val="auto"/>
        </w:rPr>
        <w:t>.</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ind w:left="800" w:right="1500" w:hanging="796"/>
        <w:spacing w:after="0" w:line="275" w:lineRule="auto"/>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Clarification of the Subsidiary Which Acquired the Security Being Reported on By the Parent Holding Company</w:t>
      </w:r>
      <w:r>
        <w:rPr>
          <w:rFonts w:ascii="Arial" w:cs="Arial" w:eastAsia="Arial" w:hAnsi="Arial"/>
          <w:sz w:val="18"/>
          <w:szCs w:val="18"/>
          <w:b w:val="1"/>
          <w:bCs w:val="1"/>
          <w:color w:val="auto"/>
        </w:rPr>
        <w:t>.</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Clarification of Members of the Group</w:t>
      </w:r>
      <w:r>
        <w:rPr>
          <w:rFonts w:ascii="Arial" w:cs="Arial" w:eastAsia="Arial" w:hAnsi="Arial"/>
          <w:sz w:val="16"/>
          <w:szCs w:val="16"/>
          <w:b w:val="1"/>
          <w:bCs w:val="1"/>
          <w:color w:val="auto"/>
        </w:rPr>
        <w:t>.</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u w:val="single" w:color="auto"/>
          <w:color w:val="auto"/>
        </w:rPr>
        <w:t>Notice of Dissolution of Group</w:t>
      </w:r>
      <w:r>
        <w:rPr>
          <w:rFonts w:ascii="Arial" w:cs="Arial" w:eastAsia="Arial" w:hAnsi="Arial"/>
          <w:sz w:val="15"/>
          <w:szCs w:val="15"/>
          <w:b w:val="1"/>
          <w:bCs w:val="1"/>
          <w:color w:val="auto"/>
        </w:rPr>
        <w:t>.</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382" w:right="29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164"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the securities and were not acquired and are not held in connection with or as a participant in any transaction having that purpose or effect.</w:t>
      </w: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SIGNATURE</w:t>
      </w:r>
    </w:p>
    <w:p>
      <w:pPr>
        <w:spacing w:after="0" w:line="83"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10, 2004</w:t>
      </w:r>
    </w:p>
    <w:p>
      <w:pPr>
        <w:spacing w:after="0" w:line="200" w:lineRule="exact"/>
        <w:rPr>
          <w:sz w:val="20"/>
          <w:szCs w:val="20"/>
          <w:color w:val="auto"/>
        </w:rPr>
      </w:pPr>
    </w:p>
    <w:p>
      <w:pPr>
        <w:spacing w:after="0" w:line="336"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TEWART</w:t>
      </w:r>
      <w:r>
        <w:rPr>
          <w:rFonts w:ascii="Arial" w:cs="Arial" w:eastAsia="Arial" w:hAnsi="Arial"/>
          <w:sz w:val="16"/>
          <w:szCs w:val="16"/>
          <w:color w:val="auto"/>
        </w:rPr>
        <w:t xml:space="preserve"> A. S</w:t>
      </w:r>
      <w:r>
        <w:rPr>
          <w:rFonts w:ascii="Arial" w:cs="Arial" w:eastAsia="Arial" w:hAnsi="Arial"/>
          <w:sz w:val="13"/>
          <w:szCs w:val="13"/>
          <w:color w:val="auto"/>
        </w:rPr>
        <w:t>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Secretary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240" w:top="38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lvl w:ilvl="1">
      <w:lvlJc w:val="left"/>
      <w:lvlText w:val="(%2)"/>
      <w:numFmt w:val="lowerLetter"/>
      <w:start w:val="1"/>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decimal"/>
      <w:start w:val="12"/>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2019-12-13T16:35:21Z</dcterms:created>
  <dcterms:modified xsi:type="dcterms:W3CDTF">2019-12-13T16:35:21Z</dcterms:modified>
</cp:coreProperties>
</file>