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9"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SCHEDULE 14A INFORMATION</w:t>
      </w:r>
    </w:p>
    <w:p>
      <w:pPr>
        <w:spacing w:after="0" w:line="185" w:lineRule="exact"/>
        <w:rPr>
          <w:sz w:val="24"/>
          <w:szCs w:val="24"/>
          <w:color w:val="auto"/>
        </w:rPr>
      </w:pPr>
    </w:p>
    <w:p>
      <w:pPr>
        <w:ind w:left="1485"/>
        <w:spacing w:after="0"/>
        <w:rPr>
          <w:sz w:val="20"/>
          <w:szCs w:val="20"/>
          <w:color w:val="auto"/>
        </w:rPr>
      </w:pPr>
      <w:r>
        <w:rPr>
          <w:rFonts w:ascii="Courier New" w:cs="Courier New" w:eastAsia="Courier New" w:hAnsi="Courier New"/>
          <w:sz w:val="15"/>
          <w:szCs w:val="15"/>
          <w:color w:val="auto"/>
        </w:rPr>
        <w:t>Proxy Statement Pursuant to Section 14(a) of the</w:t>
      </w:r>
    </w:p>
    <w:p>
      <w:pPr>
        <w:spacing w:after="0" w:line="8" w:lineRule="exact"/>
        <w:rPr>
          <w:sz w:val="24"/>
          <w:szCs w:val="24"/>
          <w:color w:val="auto"/>
        </w:rPr>
      </w:pPr>
    </w:p>
    <w:p>
      <w:pPr>
        <w:ind w:left="2305"/>
        <w:spacing w:after="0"/>
        <w:rPr>
          <w:sz w:val="20"/>
          <w:szCs w:val="20"/>
          <w:color w:val="auto"/>
        </w:rPr>
      </w:pPr>
      <w:r>
        <w:rPr>
          <w:rFonts w:ascii="Courier New" w:cs="Courier New" w:eastAsia="Courier New" w:hAnsi="Courier New"/>
          <w:sz w:val="15"/>
          <w:szCs w:val="15"/>
          <w:color w:val="auto"/>
        </w:rPr>
        <w:t>Securities Exchange Act of 1934</w:t>
      </w:r>
    </w:p>
    <w:p>
      <w:pPr>
        <w:spacing w:after="0" w:line="362"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Filed by the Registrant [X]</w:t>
      </w:r>
    </w:p>
    <w:p>
      <w:pPr>
        <w:spacing w:after="0" w:line="8" w:lineRule="exact"/>
        <w:rPr>
          <w:sz w:val="24"/>
          <w:szCs w:val="24"/>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Filed by a Party other than the Registrant [</w:t>
        <w:tab/>
        <w:t>]</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Check the appropriate box:</w:t>
      </w:r>
    </w:p>
    <w:p>
      <w:pPr>
        <w:spacing w:after="0" w:line="185" w:lineRule="exact"/>
        <w:rPr>
          <w:sz w:val="24"/>
          <w:szCs w:val="24"/>
          <w:color w:val="auto"/>
        </w:rPr>
      </w:pPr>
    </w:p>
    <w:p>
      <w:pPr>
        <w:ind w:left="285" w:hanging="285"/>
        <w:spacing w:after="0"/>
        <w:tabs>
          <w:tab w:leader="none" w:pos="28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]Preliminary Proxy Statement</w:t>
      </w:r>
    </w:p>
    <w:p>
      <w:pPr>
        <w:spacing w:after="0" w:line="185" w:lineRule="exact"/>
        <w:rPr>
          <w:sz w:val="24"/>
          <w:szCs w:val="24"/>
          <w:color w:val="auto"/>
        </w:rPr>
      </w:pPr>
    </w:p>
    <w:p>
      <w:pPr>
        <w:ind w:left="285" w:hanging="285"/>
        <w:spacing w:after="0"/>
        <w:tabs>
          <w:tab w:leader="none" w:pos="2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Additional Materials</w:t>
      </w:r>
    </w:p>
    <w:p>
      <w:pPr>
        <w:spacing w:after="0" w:line="8" w:lineRule="exact"/>
        <w:rPr>
          <w:sz w:val="24"/>
          <w:szCs w:val="24"/>
          <w:color w:val="auto"/>
        </w:rPr>
      </w:pPr>
    </w:p>
    <w:p>
      <w:pPr>
        <w:ind w:left="285" w:hanging="285"/>
        <w:spacing w:after="0"/>
        <w:tabs>
          <w:tab w:leader="none" w:pos="28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]Soliciting Material Pursuant to Rule 14a-11(c) or Rule 14a-12</w:t>
      </w:r>
    </w:p>
    <w:p>
      <w:pPr>
        <w:spacing w:after="0" w:line="185" w:lineRule="exact"/>
        <w:rPr>
          <w:sz w:val="24"/>
          <w:szCs w:val="24"/>
          <w:color w:val="auto"/>
        </w:rPr>
      </w:pPr>
    </w:p>
    <w:p>
      <w:pPr>
        <w:ind w:left="2305"/>
        <w:spacing w:after="0"/>
        <w:rPr>
          <w:sz w:val="20"/>
          <w:szCs w:val="20"/>
          <w:color w:val="auto"/>
        </w:rPr>
      </w:pPr>
      <w:r>
        <w:rPr>
          <w:rFonts w:ascii="Courier New" w:cs="Courier New" w:eastAsia="Courier New" w:hAnsi="Courier New"/>
          <w:sz w:val="15"/>
          <w:szCs w:val="15"/>
          <w:color w:val="auto"/>
        </w:rPr>
        <w:t>WORLD FUEL SERVICES CORPORATION</w:t>
      </w:r>
    </w:p>
    <w:p>
      <w:pPr>
        <w:spacing w:after="0" w:line="8" w:lineRule="exact"/>
        <w:rPr>
          <w:sz w:val="24"/>
          <w:szCs w:val="24"/>
          <w:color w:val="auto"/>
        </w:rPr>
      </w:pPr>
    </w:p>
    <w:p>
      <w:pPr>
        <w:ind w:left="185" w:hanging="185"/>
        <w:spacing w:after="0"/>
        <w:tabs>
          <w:tab w:leader="none" w:pos="18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4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Registrant as Specified In Its Charter)</w:t>
      </w:r>
    </w:p>
    <w:p>
      <w:pPr>
        <w:spacing w:after="0" w:line="185" w:lineRule="exact"/>
        <w:rPr>
          <w:sz w:val="24"/>
          <w:szCs w:val="24"/>
          <w:color w:val="auto"/>
        </w:rPr>
      </w:pPr>
    </w:p>
    <w:p>
      <w:pPr>
        <w:ind w:left="2305"/>
        <w:spacing w:after="0"/>
        <w:rPr>
          <w:sz w:val="20"/>
          <w:szCs w:val="20"/>
          <w:color w:val="auto"/>
        </w:rPr>
      </w:pPr>
      <w:r>
        <w:rPr>
          <w:rFonts w:ascii="Courier New" w:cs="Courier New" w:eastAsia="Courier New" w:hAnsi="Courier New"/>
          <w:sz w:val="15"/>
          <w:szCs w:val="15"/>
          <w:color w:val="auto"/>
        </w:rPr>
        <w:t>WORLD FUEL SERVICES CORPORATION</w:t>
      </w:r>
    </w:p>
    <w:p>
      <w:pPr>
        <w:spacing w:after="0" w:line="8" w:lineRule="exact"/>
        <w:rPr>
          <w:sz w:val="24"/>
          <w:szCs w:val="24"/>
          <w:color w:val="auto"/>
        </w:rPr>
      </w:pPr>
    </w:p>
    <w:p>
      <w:pPr>
        <w:ind w:left="185" w:hanging="185"/>
        <w:spacing w:after="0"/>
        <w:tabs>
          <w:tab w:leader="none" w:pos="18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7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Person(s) Filing Proxy Statement)</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8" w:lineRule="exact"/>
        <w:rPr>
          <w:sz w:val="24"/>
          <w:szCs w:val="24"/>
          <w:color w:val="auto"/>
        </w:rPr>
      </w:pPr>
    </w:p>
    <w:p>
      <w:pPr>
        <w:ind w:left="5"/>
        <w:spacing w:after="0"/>
        <w:tabs>
          <w:tab w:leader="none" w:pos="725" w:val="left"/>
        </w:tabs>
        <w:rPr>
          <w:sz w:val="20"/>
          <w:szCs w:val="20"/>
          <w:color w:val="auto"/>
        </w:rPr>
      </w:pPr>
      <w:r>
        <w:rPr>
          <w:rFonts w:ascii="Courier New" w:cs="Courier New" w:eastAsia="Courier New" w:hAnsi="Courier New"/>
          <w:sz w:val="15"/>
          <w:szCs w:val="15"/>
          <w:color w:val="auto"/>
        </w:rPr>
        <w:t>[ X]</w:t>
      </w:r>
      <w:r>
        <w:rPr>
          <w:sz w:val="20"/>
          <w:szCs w:val="20"/>
          <w:color w:val="auto"/>
        </w:rPr>
        <w:tab/>
      </w:r>
      <w:r>
        <w:rPr>
          <w:rFonts w:ascii="Courier New" w:cs="Courier New" w:eastAsia="Courier New" w:hAnsi="Courier New"/>
          <w:sz w:val="15"/>
          <w:szCs w:val="15"/>
          <w:color w:val="auto"/>
        </w:rPr>
        <w:t>$125 per Exchange Act Rules 0-11(c)(1)(ii), 14a-6(i)(1),</w:t>
      </w:r>
    </w:p>
    <w:p>
      <w:pPr>
        <w:spacing w:after="0" w:line="8" w:lineRule="exact"/>
        <w:rPr>
          <w:sz w:val="24"/>
          <w:szCs w:val="24"/>
          <w:color w:val="auto"/>
        </w:rPr>
      </w:pPr>
    </w:p>
    <w:p>
      <w:pPr>
        <w:ind w:left="1385"/>
        <w:spacing w:after="0"/>
        <w:rPr>
          <w:sz w:val="20"/>
          <w:szCs w:val="20"/>
          <w:color w:val="auto"/>
        </w:rPr>
      </w:pPr>
      <w:r>
        <w:rPr>
          <w:rFonts w:ascii="Courier New" w:cs="Courier New" w:eastAsia="Courier New" w:hAnsi="Courier New"/>
          <w:sz w:val="15"/>
          <w:szCs w:val="15"/>
          <w:color w:val="auto"/>
        </w:rPr>
        <w:t>14a-6(i)(2) or Item 22(a)(2) of Schedule 14A.</w:t>
      </w:r>
    </w:p>
    <w:p>
      <w:pPr>
        <w:spacing w:after="0" w:line="8" w:lineRule="exact"/>
        <w:rPr>
          <w:sz w:val="24"/>
          <w:szCs w:val="24"/>
          <w:color w:val="auto"/>
        </w:rPr>
      </w:pPr>
    </w:p>
    <w:p>
      <w:pPr>
        <w:ind w:left="745" w:right="4039" w:hanging="745"/>
        <w:spacing w:after="0" w:line="250" w:lineRule="auto"/>
        <w:tabs>
          <w:tab w:leader="none" w:pos="284"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]$500 per each party to the controversy pursuant to Exchange Act Rule 14a-6(i)(3).</w:t>
      </w:r>
    </w:p>
    <w:p>
      <w:pPr>
        <w:spacing w:after="0" w:line="1" w:lineRule="exact"/>
        <w:rPr>
          <w:sz w:val="24"/>
          <w:szCs w:val="24"/>
          <w:color w:val="auto"/>
        </w:rPr>
      </w:pPr>
    </w:p>
    <w:p>
      <w:pPr>
        <w:ind w:left="745" w:right="3399" w:hanging="745"/>
        <w:spacing w:after="0" w:line="253" w:lineRule="auto"/>
        <w:tabs>
          <w:tab w:leader="none" w:pos="284"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 computed on table below per Exchange Act Rules 14a-6(i)(4) and 0-11.</w:t>
      </w:r>
    </w:p>
    <w:p>
      <w:pPr>
        <w:spacing w:after="0" w:line="174" w:lineRule="exact"/>
        <w:rPr>
          <w:rFonts w:ascii="Courier New" w:cs="Courier New" w:eastAsia="Courier New" w:hAnsi="Courier New"/>
          <w:sz w:val="15"/>
          <w:szCs w:val="15"/>
          <w:color w:val="auto"/>
        </w:rPr>
      </w:pPr>
    </w:p>
    <w:p>
      <w:pPr>
        <w:ind w:left="1385" w:right="3859" w:hanging="647"/>
        <w:spacing w:after="0" w:line="250" w:lineRule="auto"/>
        <w:tabs>
          <w:tab w:leader="none" w:pos="1385"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 Not Applicable</w:t>
      </w:r>
    </w:p>
    <w:p>
      <w:pPr>
        <w:ind w:left="1385" w:right="4139" w:hanging="647"/>
        <w:spacing w:after="0" w:line="250" w:lineRule="auto"/>
        <w:tabs>
          <w:tab w:leader="none" w:pos="1385"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 Not Applicable</w:t>
      </w:r>
    </w:p>
    <w:p>
      <w:pPr>
        <w:ind w:left="1385" w:hanging="647"/>
        <w:spacing w:after="0"/>
        <w:tabs>
          <w:tab w:leader="none" w:pos="1385"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w:t>
      </w:r>
    </w:p>
    <w:p>
      <w:pPr>
        <w:spacing w:after="0" w:line="7" w:lineRule="exact"/>
        <w:rPr>
          <w:rFonts w:ascii="Courier New" w:cs="Courier New" w:eastAsia="Courier New" w:hAnsi="Courier New"/>
          <w:sz w:val="15"/>
          <w:szCs w:val="15"/>
          <w:color w:val="auto"/>
        </w:rPr>
      </w:pPr>
    </w:p>
    <w:p>
      <w:pPr>
        <w:ind w:left="1385" w:right="32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 computed pursuant to Exchange Act Rule 0-11: Not Applicable</w:t>
      </w:r>
    </w:p>
    <w:p>
      <w:pPr>
        <w:ind w:left="1385" w:right="3959" w:hanging="647"/>
        <w:spacing w:after="0" w:line="250" w:lineRule="auto"/>
        <w:tabs>
          <w:tab w:leader="none" w:pos="1385"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 Not Applicable</w:t>
      </w:r>
    </w:p>
    <w:p>
      <w:pPr>
        <w:ind w:left="1385" w:hanging="647"/>
        <w:spacing w:after="0"/>
        <w:tabs>
          <w:tab w:leader="none" w:pos="1385"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  Not Applicable</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 ] Fee paid previously with preliminary materials</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 ] Check box if any part of the fee is offset as provided by</w:t>
      </w:r>
    </w:p>
    <w:p>
      <w:pPr>
        <w:spacing w:after="0" w:line="8" w:lineRule="exact"/>
        <w:rPr>
          <w:sz w:val="24"/>
          <w:szCs w:val="24"/>
          <w:color w:val="auto"/>
        </w:rPr>
      </w:pPr>
    </w:p>
    <w:p>
      <w:pPr>
        <w:ind w:left="745" w:right="3019"/>
        <w:spacing w:after="0" w:line="251" w:lineRule="auto"/>
        <w:rPr>
          <w:sz w:val="20"/>
          <w:szCs w:val="20"/>
          <w:color w:val="auto"/>
        </w:rPr>
      </w:pPr>
      <w:r>
        <w:rPr>
          <w:rFonts w:ascii="Courier New" w:cs="Courier New" w:eastAsia="Courier New" w:hAnsi="Courier New"/>
          <w:sz w:val="15"/>
          <w:szCs w:val="15"/>
          <w:color w:val="auto"/>
        </w:rPr>
        <w:t>Exchange Act Rule 0-11(a)(2) and identify the filing for which the offsetting fee was paid previously. Identify the previous filing by registration statement number, or the Form or Schedule and the date of its filing.</w:t>
      </w:r>
    </w:p>
    <w:p>
      <w:pPr>
        <w:spacing w:after="0" w:line="176" w:lineRule="exact"/>
        <w:rPr>
          <w:sz w:val="24"/>
          <w:szCs w:val="24"/>
          <w:color w:val="auto"/>
        </w:rPr>
      </w:pPr>
    </w:p>
    <w:p>
      <w:pPr>
        <w:ind w:left="1385" w:hanging="647"/>
        <w:spacing w:after="0"/>
        <w:tabs>
          <w:tab w:leader="none" w:pos="138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  Not Applicable</w:t>
      </w:r>
    </w:p>
    <w:p>
      <w:pPr>
        <w:spacing w:after="0" w:line="7" w:lineRule="exact"/>
        <w:rPr>
          <w:rFonts w:ascii="Courier New" w:cs="Courier New" w:eastAsia="Courier New" w:hAnsi="Courier New"/>
          <w:sz w:val="15"/>
          <w:szCs w:val="15"/>
          <w:color w:val="auto"/>
        </w:rPr>
      </w:pPr>
    </w:p>
    <w:p>
      <w:pPr>
        <w:ind w:left="1385" w:hanging="647"/>
        <w:spacing w:after="0"/>
        <w:tabs>
          <w:tab w:leader="none" w:pos="138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  Not Applicable</w:t>
      </w:r>
    </w:p>
    <w:p>
      <w:pPr>
        <w:spacing w:after="0" w:line="7" w:lineRule="exact"/>
        <w:rPr>
          <w:rFonts w:ascii="Courier New" w:cs="Courier New" w:eastAsia="Courier New" w:hAnsi="Courier New"/>
          <w:sz w:val="15"/>
          <w:szCs w:val="15"/>
          <w:color w:val="auto"/>
        </w:rPr>
      </w:pPr>
    </w:p>
    <w:p>
      <w:pPr>
        <w:ind w:left="1385" w:hanging="647"/>
        <w:spacing w:after="0"/>
        <w:tabs>
          <w:tab w:leader="none" w:pos="138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  Not Applicable</w:t>
      </w:r>
    </w:p>
    <w:p>
      <w:pPr>
        <w:spacing w:after="0" w:line="7" w:lineRule="exact"/>
        <w:rPr>
          <w:rFonts w:ascii="Courier New" w:cs="Courier New" w:eastAsia="Courier New" w:hAnsi="Courier New"/>
          <w:sz w:val="15"/>
          <w:szCs w:val="15"/>
          <w:color w:val="auto"/>
        </w:rPr>
      </w:pPr>
    </w:p>
    <w:p>
      <w:pPr>
        <w:ind w:left="1385" w:hanging="647"/>
        <w:spacing w:after="0"/>
        <w:tabs>
          <w:tab w:leader="none" w:pos="138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  Not Applicable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ind w:left="2305"/>
        <w:spacing w:after="0"/>
        <w:rPr>
          <w:sz w:val="20"/>
          <w:szCs w:val="20"/>
          <w:color w:val="auto"/>
        </w:rPr>
      </w:pPr>
      <w:r>
        <w:rPr>
          <w:rFonts w:ascii="Courier New" w:cs="Courier New" w:eastAsia="Courier New" w:hAnsi="Courier New"/>
          <w:sz w:val="15"/>
          <w:szCs w:val="15"/>
          <w:color w:val="auto"/>
        </w:rPr>
        <w:t>WORLD FUEL SERVICES CORPORATION</w:t>
      </w:r>
    </w:p>
    <w:p>
      <w:pPr>
        <w:spacing w:after="0" w:line="8" w:lineRule="exact"/>
        <w:rPr>
          <w:sz w:val="24"/>
          <w:szCs w:val="24"/>
          <w:color w:val="auto"/>
        </w:rPr>
      </w:pPr>
    </w:p>
    <w:p>
      <w:pPr>
        <w:ind w:left="1745"/>
        <w:spacing w:after="0"/>
        <w:rPr>
          <w:sz w:val="20"/>
          <w:szCs w:val="20"/>
          <w:color w:val="auto"/>
        </w:rPr>
      </w:pPr>
      <w:r>
        <w:rPr>
          <w:rFonts w:ascii="Courier New" w:cs="Courier New" w:eastAsia="Courier New" w:hAnsi="Courier New"/>
          <w:sz w:val="15"/>
          <w:szCs w:val="15"/>
          <w:color w:val="auto"/>
        </w:rPr>
        <w:t>700 South Royal Poinciana Blvd., Suite 800</w:t>
      </w:r>
    </w:p>
    <w:p>
      <w:pPr>
        <w:spacing w:after="0" w:line="8" w:lineRule="exact"/>
        <w:rPr>
          <w:sz w:val="24"/>
          <w:szCs w:val="24"/>
          <w:color w:val="auto"/>
        </w:rPr>
      </w:pPr>
    </w:p>
    <w:p>
      <w:pPr>
        <w:ind w:left="2405"/>
        <w:spacing w:after="0"/>
        <w:rPr>
          <w:sz w:val="20"/>
          <w:szCs w:val="20"/>
          <w:color w:val="auto"/>
        </w:rPr>
      </w:pPr>
      <w:r>
        <w:rPr>
          <w:rFonts w:ascii="Courier New" w:cs="Courier New" w:eastAsia="Courier New" w:hAnsi="Courier New"/>
          <w:sz w:val="15"/>
          <w:szCs w:val="15"/>
          <w:color w:val="auto"/>
        </w:rPr>
        <w:t>Miami Springs, Florida 33166</w:t>
      </w:r>
    </w:p>
    <w:p>
      <w:pPr>
        <w:spacing w:after="0" w:line="185" w:lineRule="exact"/>
        <w:rPr>
          <w:sz w:val="24"/>
          <w:szCs w:val="24"/>
          <w:color w:val="auto"/>
        </w:rPr>
      </w:pPr>
    </w:p>
    <w:p>
      <w:pPr>
        <w:ind w:left="174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NOTICE OF ANNUAL MEETING OF SHAREHOLDERS</w:t>
      </w:r>
    </w:p>
    <w:p>
      <w:pPr>
        <w:spacing w:after="0" w:line="185" w:lineRule="exact"/>
        <w:rPr>
          <w:sz w:val="24"/>
          <w:szCs w:val="24"/>
          <w:color w:val="auto"/>
        </w:rPr>
      </w:pPr>
    </w:p>
    <w:p>
      <w:pPr>
        <w:ind w:left="2485"/>
        <w:spacing w:after="0"/>
        <w:rPr>
          <w:sz w:val="20"/>
          <w:szCs w:val="20"/>
          <w:color w:val="auto"/>
        </w:rPr>
      </w:pPr>
      <w:r>
        <w:rPr>
          <w:rFonts w:ascii="Courier New" w:cs="Courier New" w:eastAsia="Courier New" w:hAnsi="Courier New"/>
          <w:sz w:val="15"/>
          <w:szCs w:val="15"/>
          <w:color w:val="auto"/>
        </w:rPr>
        <w:t>TO BE HELD AUGUST 19, 1996</w:t>
      </w:r>
    </w:p>
    <w:p>
      <w:pPr>
        <w:spacing w:after="0" w:line="185" w:lineRule="exact"/>
        <w:rPr>
          <w:sz w:val="24"/>
          <w:szCs w:val="24"/>
          <w:color w:val="auto"/>
        </w:rPr>
      </w:pPr>
    </w:p>
    <w:p>
      <w:pPr>
        <w:ind w:left="184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ind w:left="2685"/>
        <w:spacing w:after="0"/>
        <w:rPr>
          <w:sz w:val="20"/>
          <w:szCs w:val="20"/>
          <w:color w:val="auto"/>
        </w:rPr>
      </w:pPr>
      <w:r>
        <w:rPr>
          <w:rFonts w:ascii="Courier New" w:cs="Courier New" w:eastAsia="Courier New" w:hAnsi="Courier New"/>
          <w:sz w:val="15"/>
          <w:szCs w:val="15"/>
          <w:color w:val="auto"/>
        </w:rPr>
        <w:t>Miami Springs, Florida</w:t>
      </w:r>
    </w:p>
    <w:p>
      <w:pPr>
        <w:spacing w:after="0" w:line="8" w:lineRule="exact"/>
        <w:rPr>
          <w:sz w:val="24"/>
          <w:szCs w:val="24"/>
          <w:color w:val="auto"/>
        </w:rPr>
      </w:pPr>
    </w:p>
    <w:p>
      <w:pPr>
        <w:ind w:left="3145"/>
        <w:spacing w:after="0"/>
        <w:rPr>
          <w:sz w:val="20"/>
          <w:szCs w:val="20"/>
          <w:color w:val="auto"/>
        </w:rPr>
      </w:pPr>
      <w:r>
        <w:rPr>
          <w:rFonts w:ascii="Courier New" w:cs="Courier New" w:eastAsia="Courier New" w:hAnsi="Courier New"/>
          <w:sz w:val="15"/>
          <w:szCs w:val="15"/>
          <w:color w:val="auto"/>
        </w:rPr>
        <w:t>July 22, 1996</w:t>
      </w:r>
    </w:p>
    <w:p>
      <w:pPr>
        <w:spacing w:after="0" w:line="185" w:lineRule="exact"/>
        <w:rPr>
          <w:sz w:val="24"/>
          <w:szCs w:val="24"/>
          <w:color w:val="auto"/>
        </w:rPr>
      </w:pPr>
    </w:p>
    <w:p>
      <w:pPr>
        <w:ind w:left="5" w:right="3219"/>
        <w:spacing w:after="0" w:line="251" w:lineRule="auto"/>
        <w:rPr>
          <w:sz w:val="20"/>
          <w:szCs w:val="20"/>
          <w:color w:val="auto"/>
        </w:rPr>
      </w:pPr>
      <w:r>
        <w:rPr>
          <w:rFonts w:ascii="Courier New" w:cs="Courier New" w:eastAsia="Courier New" w:hAnsi="Courier New"/>
          <w:sz w:val="15"/>
          <w:szCs w:val="15"/>
          <w:color w:val="auto"/>
        </w:rPr>
        <w:t>Notice is hereby given that the Annual Meeting of Shareholders of WORLD FUEL SERVICES CORPORATION, a Florida corporation (the "Company"), will be held on Monday, August 19, 1996, at 10:00 a.m., local time, at the Eastern Financial Federal Credit Union Auditorium, Tenth Floor, 700 South Royal Poinciana Boulevard, Miami Springs, Florida 33166, for the following purposes:</w:t>
      </w:r>
    </w:p>
    <w:p>
      <w:pPr>
        <w:spacing w:after="0" w:line="176" w:lineRule="exact"/>
        <w:rPr>
          <w:sz w:val="24"/>
          <w:szCs w:val="24"/>
          <w:color w:val="auto"/>
        </w:rPr>
      </w:pPr>
    </w:p>
    <w:p>
      <w:pPr>
        <w:ind w:left="1105" w:hanging="644"/>
        <w:spacing w:after="0"/>
        <w:tabs>
          <w:tab w:leader="none" w:pos="110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nine Directors of the Company.</w:t>
      </w:r>
    </w:p>
    <w:p>
      <w:pPr>
        <w:spacing w:after="0" w:line="184" w:lineRule="exact"/>
        <w:rPr>
          <w:rFonts w:ascii="Courier New" w:cs="Courier New" w:eastAsia="Courier New" w:hAnsi="Courier New"/>
          <w:sz w:val="15"/>
          <w:szCs w:val="15"/>
          <w:color w:val="auto"/>
        </w:rPr>
      </w:pPr>
    </w:p>
    <w:p>
      <w:pPr>
        <w:ind w:left="1105" w:right="3399" w:hanging="644"/>
        <w:spacing w:after="0" w:line="253" w:lineRule="auto"/>
        <w:tabs>
          <w:tab w:leader="none" w:pos="110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Annual Meeting or any adjournment or postponement thereof.</w:t>
      </w:r>
    </w:p>
    <w:p>
      <w:pPr>
        <w:spacing w:after="0" w:line="174"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These matters are more fully discussed in the accompanying proxy statement.</w:t>
      </w:r>
    </w:p>
    <w:p>
      <w:pPr>
        <w:spacing w:after="0" w:line="185" w:lineRule="exact"/>
        <w:rPr>
          <w:sz w:val="24"/>
          <w:szCs w:val="24"/>
          <w:color w:val="auto"/>
        </w:rPr>
      </w:pPr>
    </w:p>
    <w:p>
      <w:pPr>
        <w:jc w:val="both"/>
        <w:ind w:left="5" w:right="2939"/>
        <w:spacing w:after="0" w:line="252" w:lineRule="auto"/>
        <w:rPr>
          <w:sz w:val="20"/>
          <w:szCs w:val="20"/>
          <w:color w:val="auto"/>
        </w:rPr>
      </w:pPr>
      <w:r>
        <w:rPr>
          <w:rFonts w:ascii="Courier New" w:cs="Courier New" w:eastAsia="Courier New" w:hAnsi="Courier New"/>
          <w:sz w:val="15"/>
          <w:szCs w:val="15"/>
          <w:color w:val="auto"/>
        </w:rPr>
        <w:t>The Board of Directors has fixed the close of business on July 18, 1996, as the record date for the determination of shareholders entitled to notice of, and to vote at, the Annual Meeting.</w:t>
      </w:r>
    </w:p>
    <w:p>
      <w:pPr>
        <w:spacing w:after="0" w:line="17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The Annual Meeting for which this notice is given may be adjourned from time to</w:t>
      </w:r>
    </w:p>
    <w:p>
      <w:pPr>
        <w:sectPr>
          <w:pgSz w:w="11900" w:h="16907" w:orient="portrait"/>
          <w:cols w:equalWidth="0" w:num="1">
            <w:col w:w="10225"/>
          </w:cols>
          <w:pgMar w:left="235" w:top="236" w:right="1440" w:bottom="0" w:gutter="0" w:footer="0" w:header="0"/>
        </w:sectPr>
      </w:pPr>
    </w:p>
    <w:bookmarkStart w:id="1" w:name="page2"/>
    <w:bookmarkEnd w:id="1"/>
    <w:p>
      <w:pPr>
        <w:jc w:val="both"/>
        <w:ind w:right="3479"/>
        <w:spacing w:after="0" w:line="252" w:lineRule="auto"/>
        <w:rPr>
          <w:sz w:val="20"/>
          <w:szCs w:val="20"/>
          <w:color w:val="auto"/>
        </w:rPr>
      </w:pPr>
      <w:r>
        <w:rPr>
          <w:rFonts w:ascii="Courier New" w:cs="Courier New" w:eastAsia="Courier New" w:hAnsi="Courier New"/>
          <w:sz w:val="15"/>
          <w:szCs w:val="15"/>
          <w:color w:val="auto"/>
        </w:rPr>
        <w:t>time without further notice other than announcement at the meeting or any adjournment thereof. Any business for which notice is hereby given may be transacted at any such adjourned meeting.</w:t>
      </w:r>
    </w:p>
    <w:p>
      <w:pPr>
        <w:spacing w:after="0" w:line="175" w:lineRule="exact"/>
        <w:rPr>
          <w:sz w:val="20"/>
          <w:szCs w:val="20"/>
          <w:color w:val="auto"/>
        </w:rPr>
      </w:pPr>
    </w:p>
    <w:p>
      <w:pPr>
        <w:jc w:val="both"/>
        <w:ind w:right="3299"/>
        <w:spacing w:after="0" w:line="252" w:lineRule="auto"/>
        <w:rPr>
          <w:sz w:val="20"/>
          <w:szCs w:val="20"/>
          <w:color w:val="auto"/>
        </w:rPr>
      </w:pPr>
      <w:r>
        <w:rPr>
          <w:rFonts w:ascii="Courier New" w:cs="Courier New" w:eastAsia="Courier New" w:hAnsi="Courier New"/>
          <w:sz w:val="15"/>
          <w:szCs w:val="15"/>
          <w:color w:val="auto"/>
        </w:rPr>
        <w:t>Whether or not you expect to be present at the Annual Meeting, please date, sign, and promptly return the enclosed proxy, which is solicited by and on behalf of the Board of Directors.</w:t>
      </w:r>
    </w:p>
    <w:p>
      <w:pPr>
        <w:spacing w:after="0" w:line="17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5"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5"/>
          <w:szCs w:val="15"/>
          <w:color w:val="auto"/>
        </w:rPr>
        <w:t>WORLD FUEL SERVICES CORPORATION</w:t>
      </w:r>
    </w:p>
    <w:p>
      <w:pPr>
        <w:spacing w:after="0" w:line="362"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Ileana Garcia, Secretary</w:t>
      </w:r>
    </w:p>
    <w:p>
      <w:pPr>
        <w:sectPr>
          <w:pgSz w:w="11900" w:h="16838" w:orient="portrait"/>
          <w:cols w:equalWidth="0" w:num="1">
            <w:col w:w="10219"/>
          </w:cols>
          <w:pgMar w:left="240" w:top="142" w:right="1440" w:bottom="1440" w:gutter="0" w:footer="0" w:header="0"/>
        </w:sectPr>
      </w:pPr>
    </w:p>
    <w:bookmarkStart w:id="2" w:name="page3"/>
    <w:bookmarkEnd w:id="2"/>
    <w:p>
      <w:pPr>
        <w:ind w:left="2940"/>
        <w:spacing w:after="0"/>
        <w:rPr>
          <w:sz w:val="20"/>
          <w:szCs w:val="20"/>
          <w:color w:val="auto"/>
        </w:rPr>
      </w:pPr>
      <w:r>
        <w:rPr>
          <w:rFonts w:ascii="Courier New" w:cs="Courier New" w:eastAsia="Courier New" w:hAnsi="Courier New"/>
          <w:sz w:val="15"/>
          <w:szCs w:val="15"/>
          <w:color w:val="auto"/>
        </w:rPr>
        <w:t>TABLE OF CONTENTS</w:t>
      </w:r>
    </w:p>
    <w:p>
      <w:pPr>
        <w:spacing w:after="0" w:line="362"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PAGE</w:t>
      </w:r>
    </w:p>
    <w:p>
      <w:pPr>
        <w:spacing w:after="0" w:line="8"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Introduction</w:t>
      </w:r>
      <w:r>
        <w:rPr>
          <w:sz w:val="20"/>
          <w:szCs w:val="20"/>
          <w:color w:val="auto"/>
        </w:rPr>
        <w:tab/>
      </w:r>
      <w:r>
        <w:rPr>
          <w:rFonts w:ascii="Courier New" w:cs="Courier New" w:eastAsia="Courier New" w:hAnsi="Courier New"/>
          <w:sz w:val="13"/>
          <w:szCs w:val="13"/>
          <w:color w:val="auto"/>
        </w:rPr>
        <w:t>1</w:t>
      </w:r>
    </w:p>
    <w:p>
      <w:pPr>
        <w:spacing w:after="0" w:line="185"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Outstanding Voting Stock</w:t>
      </w:r>
      <w:r>
        <w:rPr>
          <w:sz w:val="20"/>
          <w:szCs w:val="20"/>
          <w:color w:val="auto"/>
        </w:rPr>
        <w:tab/>
      </w:r>
      <w:r>
        <w:rPr>
          <w:rFonts w:ascii="Courier New" w:cs="Courier New" w:eastAsia="Courier New" w:hAnsi="Courier New"/>
          <w:sz w:val="13"/>
          <w:szCs w:val="13"/>
          <w:color w:val="auto"/>
        </w:rPr>
        <w:t>2</w:t>
      </w:r>
    </w:p>
    <w:p>
      <w:pPr>
        <w:spacing w:after="0" w:line="185"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Costs of Solicitation</w:t>
      </w:r>
      <w:r>
        <w:rPr>
          <w:sz w:val="20"/>
          <w:szCs w:val="20"/>
          <w:color w:val="auto"/>
        </w:rPr>
        <w:tab/>
      </w:r>
      <w:r>
        <w:rPr>
          <w:rFonts w:ascii="Courier New" w:cs="Courier New" w:eastAsia="Courier New" w:hAnsi="Courier New"/>
          <w:sz w:val="13"/>
          <w:szCs w:val="13"/>
          <w:color w:val="auto"/>
        </w:rPr>
        <w:t>2</w:t>
      </w:r>
    </w:p>
    <w:p>
      <w:pPr>
        <w:spacing w:after="0" w:line="185"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Election of Directors</w:t>
      </w:r>
      <w:r>
        <w:rPr>
          <w:sz w:val="20"/>
          <w:szCs w:val="20"/>
          <w:color w:val="auto"/>
        </w:rPr>
        <w:tab/>
      </w:r>
      <w:r>
        <w:rPr>
          <w:rFonts w:ascii="Courier New" w:cs="Courier New" w:eastAsia="Courier New" w:hAnsi="Courier New"/>
          <w:sz w:val="13"/>
          <w:szCs w:val="13"/>
          <w:color w:val="auto"/>
        </w:rPr>
        <w:t>2</w:t>
      </w:r>
    </w:p>
    <w:p>
      <w:pPr>
        <w:spacing w:after="0" w:line="185"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Board of Directors</w:t>
      </w:r>
      <w:r>
        <w:rPr>
          <w:sz w:val="20"/>
          <w:szCs w:val="20"/>
          <w:color w:val="auto"/>
        </w:rPr>
        <w:tab/>
      </w:r>
      <w:r>
        <w:rPr>
          <w:rFonts w:ascii="Courier New" w:cs="Courier New" w:eastAsia="Courier New" w:hAnsi="Courier New"/>
          <w:sz w:val="13"/>
          <w:szCs w:val="13"/>
          <w:color w:val="auto"/>
        </w:rPr>
        <w:t>5</w:t>
      </w:r>
    </w:p>
    <w:p>
      <w:pPr>
        <w:spacing w:after="0" w:line="8" w:lineRule="exact"/>
        <w:rPr>
          <w:sz w:val="20"/>
          <w:szCs w:val="20"/>
          <w:color w:val="auto"/>
        </w:rPr>
      </w:pPr>
    </w:p>
    <w:p>
      <w:pPr>
        <w:ind w:left="180"/>
        <w:spacing w:after="0"/>
        <w:tabs>
          <w:tab w:leader="dot" w:pos="6720" w:val="left"/>
        </w:tabs>
        <w:rPr>
          <w:sz w:val="20"/>
          <w:szCs w:val="20"/>
          <w:color w:val="auto"/>
        </w:rPr>
      </w:pPr>
      <w:r>
        <w:rPr>
          <w:rFonts w:ascii="Courier New" w:cs="Courier New" w:eastAsia="Courier New" w:hAnsi="Courier New"/>
          <w:sz w:val="15"/>
          <w:szCs w:val="15"/>
          <w:color w:val="auto"/>
        </w:rPr>
        <w:t>Compensation of Directors</w:t>
      </w:r>
      <w:r>
        <w:rPr>
          <w:sz w:val="20"/>
          <w:szCs w:val="20"/>
          <w:color w:val="auto"/>
        </w:rPr>
        <w:tab/>
      </w:r>
      <w:r>
        <w:rPr>
          <w:rFonts w:ascii="Courier New" w:cs="Courier New" w:eastAsia="Courier New" w:hAnsi="Courier New"/>
          <w:sz w:val="13"/>
          <w:szCs w:val="13"/>
          <w:color w:val="auto"/>
        </w:rPr>
        <w:t>6</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Stockholders and Security</w:t>
      </w:r>
    </w:p>
    <w:p>
      <w:pPr>
        <w:spacing w:after="0" w:line="8" w:lineRule="exact"/>
        <w:rPr>
          <w:sz w:val="20"/>
          <w:szCs w:val="20"/>
          <w:color w:val="auto"/>
        </w:rPr>
      </w:pPr>
    </w:p>
    <w:p>
      <w:pPr>
        <w:ind w:left="180"/>
        <w:spacing w:after="0"/>
        <w:tabs>
          <w:tab w:leader="dot" w:pos="6720" w:val="left"/>
        </w:tabs>
        <w:rPr>
          <w:sz w:val="20"/>
          <w:szCs w:val="20"/>
          <w:color w:val="auto"/>
        </w:rPr>
      </w:pPr>
      <w:r>
        <w:rPr>
          <w:rFonts w:ascii="Courier New" w:cs="Courier New" w:eastAsia="Courier New" w:hAnsi="Courier New"/>
          <w:sz w:val="15"/>
          <w:szCs w:val="15"/>
          <w:color w:val="auto"/>
        </w:rPr>
        <w:t>Ownership of Management</w:t>
      </w:r>
      <w:r>
        <w:rPr>
          <w:sz w:val="20"/>
          <w:szCs w:val="20"/>
          <w:color w:val="auto"/>
        </w:rPr>
        <w:tab/>
      </w:r>
      <w:r>
        <w:rPr>
          <w:rFonts w:ascii="Courier New" w:cs="Courier New" w:eastAsia="Courier New" w:hAnsi="Courier New"/>
          <w:sz w:val="13"/>
          <w:szCs w:val="13"/>
          <w:color w:val="auto"/>
        </w:rPr>
        <w:t>6</w:t>
      </w:r>
    </w:p>
    <w:p>
      <w:pPr>
        <w:spacing w:after="0" w:line="185"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Information Concerning Executive Officers</w:t>
      </w:r>
      <w:r>
        <w:rPr>
          <w:sz w:val="20"/>
          <w:szCs w:val="20"/>
          <w:color w:val="auto"/>
        </w:rPr>
        <w:tab/>
      </w:r>
      <w:r>
        <w:rPr>
          <w:rFonts w:ascii="Courier New" w:cs="Courier New" w:eastAsia="Courier New" w:hAnsi="Courier New"/>
          <w:sz w:val="13"/>
          <w:szCs w:val="13"/>
          <w:color w:val="auto"/>
        </w:rPr>
        <w:t>9</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Reporting Requirements for</w:t>
      </w:r>
    </w:p>
    <w:p>
      <w:pPr>
        <w:spacing w:after="0" w:line="8" w:lineRule="exact"/>
        <w:rPr>
          <w:sz w:val="20"/>
          <w:szCs w:val="20"/>
          <w:color w:val="auto"/>
        </w:rPr>
      </w:pPr>
    </w:p>
    <w:p>
      <w:pPr>
        <w:ind w:left="460"/>
        <w:spacing w:after="0"/>
        <w:tabs>
          <w:tab w:leader="dot" w:pos="6620" w:val="left"/>
        </w:tabs>
        <w:rPr>
          <w:sz w:val="20"/>
          <w:szCs w:val="20"/>
          <w:color w:val="auto"/>
        </w:rPr>
      </w:pPr>
      <w:r>
        <w:rPr>
          <w:rFonts w:ascii="Courier New" w:cs="Courier New" w:eastAsia="Courier New" w:hAnsi="Courier New"/>
          <w:sz w:val="15"/>
          <w:szCs w:val="15"/>
          <w:color w:val="auto"/>
        </w:rPr>
        <w:t>Directors and Executive Officers</w:t>
      </w:r>
      <w:r>
        <w:rPr>
          <w:sz w:val="20"/>
          <w:szCs w:val="20"/>
          <w:color w:val="auto"/>
        </w:rPr>
        <w:tab/>
      </w:r>
      <w:r>
        <w:rPr>
          <w:rFonts w:ascii="Courier New" w:cs="Courier New" w:eastAsia="Courier New" w:hAnsi="Courier New"/>
          <w:sz w:val="15"/>
          <w:szCs w:val="15"/>
          <w:color w:val="auto"/>
        </w:rPr>
        <w:t>10</w:t>
      </w:r>
    </w:p>
    <w:p>
      <w:pPr>
        <w:spacing w:after="0" w:line="185"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5"/>
          <w:szCs w:val="15"/>
          <w:color w:val="auto"/>
        </w:rPr>
        <w:t>Compensation of Officers</w:t>
      </w:r>
      <w:r>
        <w:rPr>
          <w:sz w:val="20"/>
          <w:szCs w:val="20"/>
          <w:color w:val="auto"/>
        </w:rPr>
        <w:tab/>
      </w:r>
      <w:r>
        <w:rPr>
          <w:rFonts w:ascii="Courier New" w:cs="Courier New" w:eastAsia="Courier New" w:hAnsi="Courier New"/>
          <w:sz w:val="15"/>
          <w:szCs w:val="15"/>
          <w:color w:val="auto"/>
        </w:rPr>
        <w:t>11</w:t>
      </w:r>
    </w:p>
    <w:p>
      <w:pPr>
        <w:spacing w:after="0" w:line="8" w:lineRule="exact"/>
        <w:rPr>
          <w:sz w:val="20"/>
          <w:szCs w:val="20"/>
          <w:color w:val="auto"/>
        </w:rPr>
      </w:pPr>
    </w:p>
    <w:p>
      <w:pPr>
        <w:ind w:left="460"/>
        <w:spacing w:after="0"/>
        <w:tabs>
          <w:tab w:leader="dot" w:pos="6620" w:val="left"/>
        </w:tabs>
        <w:rPr>
          <w:sz w:val="20"/>
          <w:szCs w:val="20"/>
          <w:color w:val="auto"/>
        </w:rPr>
      </w:pPr>
      <w:r>
        <w:rPr>
          <w:rFonts w:ascii="Courier New" w:cs="Courier New" w:eastAsia="Courier New" w:hAnsi="Courier New"/>
          <w:sz w:val="15"/>
          <w:szCs w:val="15"/>
          <w:color w:val="auto"/>
        </w:rPr>
        <w:t>Summary Compensation Table</w:t>
      </w:r>
      <w:r>
        <w:rPr>
          <w:sz w:val="20"/>
          <w:szCs w:val="20"/>
          <w:color w:val="auto"/>
        </w:rPr>
        <w:tab/>
      </w:r>
      <w:r>
        <w:rPr>
          <w:rFonts w:ascii="Courier New" w:cs="Courier New" w:eastAsia="Courier New" w:hAnsi="Courier New"/>
          <w:sz w:val="15"/>
          <w:szCs w:val="15"/>
          <w:color w:val="auto"/>
        </w:rPr>
        <w:t>11</w:t>
      </w:r>
    </w:p>
    <w:p>
      <w:pPr>
        <w:spacing w:after="0" w:line="8" w:lineRule="exact"/>
        <w:rPr>
          <w:sz w:val="20"/>
          <w:szCs w:val="20"/>
          <w:color w:val="auto"/>
        </w:rPr>
      </w:pPr>
    </w:p>
    <w:p>
      <w:pPr>
        <w:ind w:left="460"/>
        <w:spacing w:after="0"/>
        <w:tabs>
          <w:tab w:leader="dot" w:pos="6620" w:val="left"/>
        </w:tabs>
        <w:rPr>
          <w:sz w:val="20"/>
          <w:szCs w:val="20"/>
          <w:color w:val="auto"/>
        </w:rPr>
      </w:pPr>
      <w:r>
        <w:rPr>
          <w:rFonts w:ascii="Courier New" w:cs="Courier New" w:eastAsia="Courier New" w:hAnsi="Courier New"/>
          <w:sz w:val="15"/>
          <w:szCs w:val="15"/>
          <w:color w:val="auto"/>
        </w:rPr>
        <w:t>Stock Option Information</w:t>
      </w:r>
      <w:r>
        <w:rPr>
          <w:sz w:val="20"/>
          <w:szCs w:val="20"/>
          <w:color w:val="auto"/>
        </w:rPr>
        <w:tab/>
      </w:r>
      <w:r>
        <w:rPr>
          <w:rFonts w:ascii="Courier New" w:cs="Courier New" w:eastAsia="Courier New" w:hAnsi="Courier New"/>
          <w:sz w:val="15"/>
          <w:szCs w:val="15"/>
          <w:color w:val="auto"/>
        </w:rPr>
        <w:t>12</w:t>
      </w:r>
    </w:p>
    <w:p>
      <w:pPr>
        <w:spacing w:after="0" w:line="8" w:lineRule="exact"/>
        <w:rPr>
          <w:sz w:val="20"/>
          <w:szCs w:val="20"/>
          <w:color w:val="auto"/>
        </w:rPr>
      </w:pPr>
    </w:p>
    <w:p>
      <w:pPr>
        <w:ind w:left="460"/>
        <w:spacing w:after="0"/>
        <w:tabs>
          <w:tab w:leader="dot" w:pos="6620" w:val="left"/>
        </w:tabs>
        <w:rPr>
          <w:sz w:val="20"/>
          <w:szCs w:val="20"/>
          <w:color w:val="auto"/>
        </w:rPr>
      </w:pPr>
      <w:r>
        <w:rPr>
          <w:rFonts w:ascii="Courier New" w:cs="Courier New" w:eastAsia="Courier New" w:hAnsi="Courier New"/>
          <w:sz w:val="15"/>
          <w:szCs w:val="15"/>
          <w:color w:val="auto"/>
        </w:rPr>
        <w:t>Certain Employment Agreements</w:t>
      </w:r>
      <w:r>
        <w:rPr>
          <w:sz w:val="20"/>
          <w:szCs w:val="20"/>
          <w:color w:val="auto"/>
        </w:rPr>
        <w:tab/>
      </w:r>
      <w:r>
        <w:rPr>
          <w:rFonts w:ascii="Courier New" w:cs="Courier New" w:eastAsia="Courier New" w:hAnsi="Courier New"/>
          <w:sz w:val="15"/>
          <w:szCs w:val="15"/>
          <w:color w:val="auto"/>
        </w:rPr>
        <w:t>13</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Compensation Committee Report on Executive</w:t>
      </w:r>
    </w:p>
    <w:p>
      <w:pPr>
        <w:spacing w:after="0" w:line="8" w:lineRule="exact"/>
        <w:rPr>
          <w:sz w:val="20"/>
          <w:szCs w:val="20"/>
          <w:color w:val="auto"/>
        </w:rPr>
      </w:pPr>
    </w:p>
    <w:p>
      <w:pPr>
        <w:ind w:left="740"/>
        <w:spacing w:after="0"/>
        <w:tabs>
          <w:tab w:leader="dot" w:pos="6620" w:val="left"/>
        </w:tabs>
        <w:rPr>
          <w:sz w:val="20"/>
          <w:szCs w:val="20"/>
          <w:color w:val="auto"/>
        </w:rPr>
      </w:pPr>
      <w:r>
        <w:rPr>
          <w:rFonts w:ascii="Courier New" w:cs="Courier New" w:eastAsia="Courier New" w:hAnsi="Courier New"/>
          <w:sz w:val="15"/>
          <w:szCs w:val="15"/>
          <w:color w:val="auto"/>
        </w:rPr>
        <w:t>Compensation</w:t>
      </w:r>
      <w:r>
        <w:rPr>
          <w:sz w:val="20"/>
          <w:szCs w:val="20"/>
          <w:color w:val="auto"/>
        </w:rPr>
        <w:tab/>
      </w:r>
      <w:r>
        <w:rPr>
          <w:rFonts w:ascii="Courier New" w:cs="Courier New" w:eastAsia="Courier New" w:hAnsi="Courier New"/>
          <w:sz w:val="15"/>
          <w:szCs w:val="15"/>
          <w:color w:val="auto"/>
        </w:rPr>
        <w:t>14</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Compensation Committee Interlocks and Insider</w:t>
      </w:r>
    </w:p>
    <w:p>
      <w:pPr>
        <w:spacing w:after="0" w:line="8" w:lineRule="exact"/>
        <w:rPr>
          <w:sz w:val="20"/>
          <w:szCs w:val="20"/>
          <w:color w:val="auto"/>
        </w:rPr>
      </w:pPr>
    </w:p>
    <w:p>
      <w:pPr>
        <w:ind w:left="740"/>
        <w:spacing w:after="0"/>
        <w:tabs>
          <w:tab w:leader="dot" w:pos="6620" w:val="left"/>
        </w:tabs>
        <w:rPr>
          <w:sz w:val="20"/>
          <w:szCs w:val="20"/>
          <w:color w:val="auto"/>
        </w:rPr>
      </w:pPr>
      <w:r>
        <w:rPr>
          <w:rFonts w:ascii="Courier New" w:cs="Courier New" w:eastAsia="Courier New" w:hAnsi="Courier New"/>
          <w:sz w:val="15"/>
          <w:szCs w:val="15"/>
          <w:color w:val="auto"/>
        </w:rPr>
        <w:t>Participation</w:t>
      </w:r>
      <w:r>
        <w:rPr>
          <w:sz w:val="20"/>
          <w:szCs w:val="20"/>
          <w:color w:val="auto"/>
        </w:rPr>
        <w:tab/>
      </w:r>
      <w:r>
        <w:rPr>
          <w:rFonts w:ascii="Courier New" w:cs="Courier New" w:eastAsia="Courier New" w:hAnsi="Courier New"/>
          <w:sz w:val="15"/>
          <w:szCs w:val="15"/>
          <w:color w:val="auto"/>
        </w:rPr>
        <w:t>16</w:t>
      </w:r>
    </w:p>
    <w:p>
      <w:pPr>
        <w:spacing w:after="0" w:line="8" w:lineRule="exact"/>
        <w:rPr>
          <w:sz w:val="20"/>
          <w:szCs w:val="20"/>
          <w:color w:val="auto"/>
        </w:rPr>
      </w:pPr>
    </w:p>
    <w:p>
      <w:pPr>
        <w:ind w:left="460"/>
        <w:spacing w:after="0"/>
        <w:tabs>
          <w:tab w:leader="dot" w:pos="6620" w:val="left"/>
        </w:tabs>
        <w:rPr>
          <w:sz w:val="20"/>
          <w:szCs w:val="20"/>
          <w:color w:val="auto"/>
        </w:rPr>
      </w:pPr>
      <w:r>
        <w:rPr>
          <w:rFonts w:ascii="Courier New" w:cs="Courier New" w:eastAsia="Courier New" w:hAnsi="Courier New"/>
          <w:sz w:val="15"/>
          <w:szCs w:val="15"/>
          <w:color w:val="auto"/>
        </w:rPr>
        <w:t>Stock Performance Graph</w:t>
      </w:r>
      <w:r>
        <w:rPr>
          <w:sz w:val="20"/>
          <w:szCs w:val="20"/>
          <w:color w:val="auto"/>
        </w:rPr>
        <w:tab/>
      </w:r>
      <w:r>
        <w:rPr>
          <w:rFonts w:ascii="Courier New" w:cs="Courier New" w:eastAsia="Courier New" w:hAnsi="Courier New"/>
          <w:sz w:val="15"/>
          <w:szCs w:val="15"/>
          <w:color w:val="auto"/>
        </w:rPr>
        <w:t>16</w:t>
      </w:r>
    </w:p>
    <w:p>
      <w:pPr>
        <w:spacing w:after="0" w:line="185"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5"/>
          <w:szCs w:val="15"/>
          <w:color w:val="auto"/>
        </w:rPr>
        <w:t>Transactions with Management and Others</w:t>
      </w:r>
      <w:r>
        <w:rPr>
          <w:sz w:val="20"/>
          <w:szCs w:val="20"/>
          <w:color w:val="auto"/>
        </w:rPr>
        <w:tab/>
      </w:r>
      <w:r>
        <w:rPr>
          <w:rFonts w:ascii="Courier New" w:cs="Courier New" w:eastAsia="Courier New" w:hAnsi="Courier New"/>
          <w:sz w:val="15"/>
          <w:szCs w:val="15"/>
          <w:color w:val="auto"/>
        </w:rPr>
        <w:t>18</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Relationship with Independent</w:t>
      </w:r>
    </w:p>
    <w:p>
      <w:pPr>
        <w:spacing w:after="0" w:line="8" w:lineRule="exact"/>
        <w:rPr>
          <w:sz w:val="20"/>
          <w:szCs w:val="20"/>
          <w:color w:val="auto"/>
        </w:rPr>
      </w:pPr>
    </w:p>
    <w:p>
      <w:pPr>
        <w:ind w:left="460"/>
        <w:spacing w:after="0"/>
        <w:tabs>
          <w:tab w:leader="dot" w:pos="6620" w:val="left"/>
        </w:tabs>
        <w:rPr>
          <w:sz w:val="20"/>
          <w:szCs w:val="20"/>
          <w:color w:val="auto"/>
        </w:rPr>
      </w:pPr>
      <w:r>
        <w:rPr>
          <w:rFonts w:ascii="Courier New" w:cs="Courier New" w:eastAsia="Courier New" w:hAnsi="Courier New"/>
          <w:sz w:val="15"/>
          <w:szCs w:val="15"/>
          <w:color w:val="auto"/>
        </w:rPr>
        <w:t>Public Accountants</w:t>
      </w:r>
      <w:r>
        <w:rPr>
          <w:sz w:val="20"/>
          <w:szCs w:val="20"/>
          <w:color w:val="auto"/>
        </w:rPr>
        <w:tab/>
      </w:r>
      <w:r>
        <w:rPr>
          <w:rFonts w:ascii="Courier New" w:cs="Courier New" w:eastAsia="Courier New" w:hAnsi="Courier New"/>
          <w:sz w:val="15"/>
          <w:szCs w:val="15"/>
          <w:color w:val="auto"/>
        </w:rPr>
        <w:t>19</w:t>
      </w:r>
    </w:p>
    <w:p>
      <w:pPr>
        <w:spacing w:after="0" w:line="185"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5"/>
          <w:szCs w:val="15"/>
          <w:color w:val="auto"/>
        </w:rPr>
        <w:t>Proposals for the 1997 Annual Meeting</w:t>
      </w:r>
      <w:r>
        <w:rPr>
          <w:sz w:val="20"/>
          <w:szCs w:val="20"/>
          <w:color w:val="auto"/>
        </w:rPr>
        <w:tab/>
      </w:r>
      <w:r>
        <w:rPr>
          <w:rFonts w:ascii="Courier New" w:cs="Courier New" w:eastAsia="Courier New" w:hAnsi="Courier New"/>
          <w:sz w:val="15"/>
          <w:szCs w:val="15"/>
          <w:color w:val="auto"/>
        </w:rPr>
        <w:t>19</w:t>
      </w:r>
    </w:p>
    <w:p>
      <w:pPr>
        <w:spacing w:after="0" w:line="185"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5"/>
          <w:szCs w:val="15"/>
          <w:color w:val="auto"/>
        </w:rPr>
        <w:t>Other Matters</w:t>
      </w:r>
      <w:r>
        <w:rPr>
          <w:sz w:val="20"/>
          <w:szCs w:val="20"/>
          <w:color w:val="auto"/>
        </w:rPr>
        <w:tab/>
      </w:r>
      <w:r>
        <w:rPr>
          <w:rFonts w:ascii="Courier New" w:cs="Courier New" w:eastAsia="Courier New" w:hAnsi="Courier New"/>
          <w:sz w:val="15"/>
          <w:szCs w:val="15"/>
          <w:color w:val="auto"/>
        </w:rPr>
        <w:t>19</w:t>
      </w:r>
    </w:p>
    <w:p>
      <w:pPr>
        <w:sectPr>
          <w:pgSz w:w="11900" w:h="16838" w:orient="portrait"/>
          <w:cols w:equalWidth="0" w:num="1">
            <w:col w:w="10219"/>
          </w:cols>
          <w:pgMar w:left="240" w:top="828" w:right="1440" w:bottom="1440" w:gutter="0" w:footer="0" w:header="0"/>
        </w:sectPr>
      </w:pPr>
    </w:p>
    <w:bookmarkStart w:id="3" w:name="page4"/>
    <w:bookmarkEnd w:id="3"/>
    <w:p>
      <w:pPr>
        <w:jc w:val="center"/>
        <w:ind w:right="2759"/>
        <w:spacing w:after="0"/>
        <w:rPr>
          <w:sz w:val="20"/>
          <w:szCs w:val="20"/>
          <w:color w:val="auto"/>
        </w:rPr>
      </w:pPr>
      <w:r>
        <w:rPr>
          <w:rFonts w:ascii="Courier New" w:cs="Courier New" w:eastAsia="Courier New" w:hAnsi="Courier New"/>
          <w:sz w:val="15"/>
          <w:szCs w:val="15"/>
          <w:color w:val="auto"/>
        </w:rPr>
        <w:t>PROXY STATEMENT</w:t>
      </w:r>
    </w:p>
    <w:p>
      <w:pPr>
        <w:spacing w:after="0" w:line="18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WORLD FUEL SERVICES CORPORATION</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700 South Royal Poinciana Blvd., Suite 800</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Miami Springs, Florida 33166</w:t>
      </w:r>
    </w:p>
    <w:p>
      <w:pPr>
        <w:spacing w:after="0" w:line="18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 OF SHAREHOLDERS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be held on August 19, 1996</w:t>
      </w:r>
    </w:p>
    <w:p>
      <w:pPr>
        <w:spacing w:after="0" w:line="36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INTRODUCTION</w:t>
      </w:r>
    </w:p>
    <w:p>
      <w:pPr>
        <w:spacing w:after="0" w:line="185" w:lineRule="exact"/>
        <w:rPr>
          <w:sz w:val="20"/>
          <w:szCs w:val="20"/>
          <w:color w:val="auto"/>
        </w:rPr>
      </w:pPr>
    </w:p>
    <w:p>
      <w:pPr>
        <w:ind w:right="2939" w:firstLine="1107"/>
        <w:spacing w:after="0" w:line="251" w:lineRule="auto"/>
        <w:rPr>
          <w:sz w:val="20"/>
          <w:szCs w:val="20"/>
          <w:color w:val="auto"/>
        </w:rPr>
      </w:pPr>
      <w:r>
        <w:rPr>
          <w:rFonts w:ascii="Courier New" w:cs="Courier New" w:eastAsia="Courier New" w:hAnsi="Courier New"/>
          <w:sz w:val="15"/>
          <w:szCs w:val="15"/>
          <w:color w:val="auto"/>
        </w:rPr>
        <w:t>This proxy statement is furnished to the shareholders of WORLD FUEL SERVICES CORPORATION, a Florida corporation (the "Company"), in connection with the solicitation of proxies by the Board of Directors of the Company for the Annual Meeting of Shareholders (the "Annual Meeting") to be held at the place and time and for the purposes set forth in the attached Notice of Meeting.</w:t>
      </w:r>
    </w:p>
    <w:p>
      <w:pPr>
        <w:spacing w:after="0" w:line="176" w:lineRule="exact"/>
        <w:rPr>
          <w:sz w:val="20"/>
          <w:szCs w:val="20"/>
          <w:color w:val="auto"/>
        </w:rPr>
      </w:pPr>
    </w:p>
    <w:p>
      <w:pPr>
        <w:ind w:right="2839" w:firstLine="1107"/>
        <w:spacing w:after="0" w:line="253" w:lineRule="auto"/>
        <w:rPr>
          <w:sz w:val="20"/>
          <w:szCs w:val="20"/>
          <w:color w:val="auto"/>
        </w:rPr>
      </w:pPr>
      <w:r>
        <w:rPr>
          <w:rFonts w:ascii="Courier New" w:cs="Courier New" w:eastAsia="Courier New" w:hAnsi="Courier New"/>
          <w:sz w:val="15"/>
          <w:szCs w:val="15"/>
          <w:color w:val="auto"/>
        </w:rPr>
        <w:t>This Proxy Statement and the accompanying proxy are first being sent to shareholders on or about July 22, 1996.</w:t>
      </w:r>
    </w:p>
    <w:p>
      <w:pPr>
        <w:spacing w:after="0" w:line="174" w:lineRule="exact"/>
        <w:rPr>
          <w:sz w:val="20"/>
          <w:szCs w:val="20"/>
          <w:color w:val="auto"/>
        </w:rPr>
      </w:pPr>
    </w:p>
    <w:p>
      <w:pPr>
        <w:ind w:right="2939" w:firstLine="1107"/>
        <w:spacing w:after="0" w:line="251" w:lineRule="auto"/>
        <w:rPr>
          <w:sz w:val="20"/>
          <w:szCs w:val="20"/>
          <w:color w:val="auto"/>
        </w:rPr>
      </w:pPr>
      <w:r>
        <w:rPr>
          <w:rFonts w:ascii="Courier New" w:cs="Courier New" w:eastAsia="Courier New" w:hAnsi="Courier New"/>
          <w:sz w:val="15"/>
          <w:szCs w:val="15"/>
          <w:color w:val="auto"/>
        </w:rPr>
        <w:t>Pursuant to the By-Laws of the Company, the Board of Directors has ordered the Annual Meeting of Shareholders to be held on August 19, 1996, and has fixed the close of business on July 18, 1996, as the record date (the "Record Date") for the determination of shareholders entitled to receive notice of, and to vote at, the Annual Meeting or any adjournment or postponement thereof.</w:t>
      </w:r>
    </w:p>
    <w:p>
      <w:pPr>
        <w:spacing w:after="0" w:line="176" w:lineRule="exact"/>
        <w:rPr>
          <w:sz w:val="20"/>
          <w:szCs w:val="20"/>
          <w:color w:val="auto"/>
        </w:rPr>
      </w:pPr>
    </w:p>
    <w:p>
      <w:pPr>
        <w:ind w:right="2839" w:firstLine="1107"/>
        <w:spacing w:after="0" w:line="250" w:lineRule="auto"/>
        <w:rPr>
          <w:sz w:val="20"/>
          <w:szCs w:val="20"/>
          <w:color w:val="auto"/>
        </w:rPr>
      </w:pPr>
      <w:r>
        <w:rPr>
          <w:rFonts w:ascii="Courier New" w:cs="Courier New" w:eastAsia="Courier New" w:hAnsi="Courier New"/>
          <w:sz w:val="15"/>
          <w:szCs w:val="15"/>
          <w:color w:val="auto"/>
        </w:rPr>
        <w:t>Proxies in the accompanying form, properly executed, duly returned to the Company and not revoked, will be voted in the manner specified. If no instructions are specified with respect to any particular matter to be acted upon, proxies will be voted in favor thereof. Returning a signed proxy will not affect a shareholder's right to attend the Annual Meeting and to vote in person, since proxies are revocable. A proxy for the Annual Meeting may be revoked at any time prior to its use by submission of a later dated proxy, by delivery of written notice of revocation to the President of the Company, or by voting in person at the Annual Meeting. Presence at the Annual Meeting does not of itself revoke a proxy.</w:t>
      </w:r>
    </w:p>
    <w:p>
      <w:pPr>
        <w:spacing w:after="0" w:line="182" w:lineRule="exact"/>
        <w:rPr>
          <w:sz w:val="20"/>
          <w:szCs w:val="20"/>
          <w:color w:val="auto"/>
        </w:rPr>
      </w:pPr>
    </w:p>
    <w:p>
      <w:pPr>
        <w:ind w:right="2839" w:firstLine="1107"/>
        <w:spacing w:after="0" w:line="252" w:lineRule="auto"/>
        <w:rPr>
          <w:sz w:val="20"/>
          <w:szCs w:val="20"/>
          <w:color w:val="auto"/>
        </w:rPr>
      </w:pPr>
      <w:r>
        <w:rPr>
          <w:rFonts w:ascii="Courier New" w:cs="Courier New" w:eastAsia="Courier New" w:hAnsi="Courier New"/>
          <w:sz w:val="15"/>
          <w:szCs w:val="15"/>
          <w:color w:val="auto"/>
        </w:rPr>
        <w:t>The Annual Report of the Company for the fiscal year ended March 31, 1996, including financial statements, is being mailed to each shareholder together with this Proxy Statement.</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005" w:right="1440" w:bottom="1440" w:gutter="0" w:footer="0" w:header="0"/>
        </w:sectPr>
      </w:pPr>
    </w:p>
    <w:bookmarkStart w:id="4" w:name="page5"/>
    <w:bookmarkEnd w:id="4"/>
    <w:p>
      <w:pPr>
        <w:ind w:left="2580"/>
        <w:spacing w:after="0"/>
        <w:rPr>
          <w:sz w:val="20"/>
          <w:szCs w:val="20"/>
          <w:color w:val="auto"/>
        </w:rPr>
      </w:pPr>
      <w:r>
        <w:rPr>
          <w:rFonts w:ascii="Courier New" w:cs="Courier New" w:eastAsia="Courier New" w:hAnsi="Courier New"/>
          <w:sz w:val="15"/>
          <w:szCs w:val="15"/>
          <w:color w:val="auto"/>
        </w:rPr>
        <w:t>OUTSTANDING VOTING STOCK</w:t>
      </w:r>
    </w:p>
    <w:p>
      <w:pPr>
        <w:spacing w:after="0" w:line="185" w:lineRule="exact"/>
        <w:rPr>
          <w:sz w:val="20"/>
          <w:szCs w:val="20"/>
          <w:color w:val="auto"/>
        </w:rPr>
      </w:pPr>
    </w:p>
    <w:p>
      <w:pPr>
        <w:ind w:right="2839" w:firstLine="1107"/>
        <w:spacing w:after="0" w:line="250" w:lineRule="auto"/>
        <w:rPr>
          <w:sz w:val="20"/>
          <w:szCs w:val="20"/>
          <w:color w:val="auto"/>
        </w:rPr>
      </w:pPr>
      <w:r>
        <w:rPr>
          <w:rFonts w:ascii="Courier New" w:cs="Courier New" w:eastAsia="Courier New" w:hAnsi="Courier New"/>
          <w:sz w:val="15"/>
          <w:szCs w:val="15"/>
          <w:color w:val="auto"/>
        </w:rPr>
        <w:t>On June 28, 1996, the Company had 8,042,518 outstanding shares of common stock, par value $.01 per share (the "Common Stock"), which constitute the only class of voting securities of the Company. The presence, in person or by properly executed proxy, of the holders of a majority of the outstanding shares of Common Stock entitled to vote is necessary to constitute a quorum at the meeting. Each holder of Common Stock on the Record Date is entitled to cast one vote per share, exercisable in person or by proxy, at all meetings of shareholders. Directors are elected by a plurality vote of the shares of Common Stock present in person or represented by proxy at the Annual Meeting. All other matters to be considered at the Annual Meeting shall be approved if the votes cast in favor of the action exceed the votes cast opposing the action.</w:t>
      </w:r>
    </w:p>
    <w:p>
      <w:pPr>
        <w:spacing w:after="0" w:line="182" w:lineRule="exact"/>
        <w:rPr>
          <w:sz w:val="20"/>
          <w:szCs w:val="20"/>
          <w:color w:val="auto"/>
        </w:rPr>
      </w:pPr>
    </w:p>
    <w:p>
      <w:pPr>
        <w:ind w:right="2839" w:firstLine="1107"/>
        <w:spacing w:after="0" w:line="251" w:lineRule="auto"/>
        <w:rPr>
          <w:sz w:val="20"/>
          <w:szCs w:val="20"/>
          <w:color w:val="auto"/>
        </w:rPr>
      </w:pPr>
      <w:r>
        <w:rPr>
          <w:rFonts w:ascii="Courier New" w:cs="Courier New" w:eastAsia="Courier New" w:hAnsi="Courier New"/>
          <w:sz w:val="15"/>
          <w:szCs w:val="15"/>
          <w:color w:val="auto"/>
        </w:rPr>
        <w:t>As of June 28, 1996, the nine nominees for Director of the Company beneficially owned a total of 923,470 shares of Common Stock, or approximately 11.48% of the shares of Common Stock outstanding. The nominees have informed the Company that they intend to vote their shares of Common Stock to elect themselves to the Board of Directors. See "Principal Stockholders and Security Ownership of Management."</w:t>
      </w:r>
    </w:p>
    <w:p>
      <w:pPr>
        <w:spacing w:after="0" w:line="17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COSTS OF SOLICITATION</w:t>
      </w:r>
    </w:p>
    <w:p>
      <w:pPr>
        <w:spacing w:after="0" w:line="185" w:lineRule="exact"/>
        <w:rPr>
          <w:sz w:val="20"/>
          <w:szCs w:val="20"/>
          <w:color w:val="auto"/>
        </w:rPr>
      </w:pPr>
    </w:p>
    <w:p>
      <w:pPr>
        <w:ind w:right="2839" w:firstLine="1107"/>
        <w:spacing w:after="0" w:line="251" w:lineRule="auto"/>
        <w:rPr>
          <w:sz w:val="20"/>
          <w:szCs w:val="20"/>
          <w:color w:val="auto"/>
        </w:rPr>
      </w:pPr>
      <w:r>
        <w:rPr>
          <w:rFonts w:ascii="Courier New" w:cs="Courier New" w:eastAsia="Courier New" w:hAnsi="Courier New"/>
          <w:sz w:val="15"/>
          <w:szCs w:val="15"/>
          <w:color w:val="auto"/>
        </w:rPr>
        <w:t>The entire cost of soliciting proxies for the Annual Meeting will be borne by the Company. Solicitation of proxies may be made through personal calls upon, or telephone or telegraphic communications with, stockholders or their representatives by officers and other employees of the Company, who will receive no additional compensation therefor.</w:t>
      </w:r>
    </w:p>
    <w:p>
      <w:pPr>
        <w:spacing w:after="0" w:line="17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ELECTION OF DIRECTORS</w:t>
      </w:r>
    </w:p>
    <w:p>
      <w:pPr>
        <w:spacing w:after="0" w:line="185" w:lineRule="exact"/>
        <w:rPr>
          <w:sz w:val="20"/>
          <w:szCs w:val="20"/>
          <w:color w:val="auto"/>
        </w:rPr>
      </w:pPr>
    </w:p>
    <w:p>
      <w:pPr>
        <w:ind w:right="2839" w:firstLine="1107"/>
        <w:spacing w:after="0" w:line="250" w:lineRule="auto"/>
        <w:rPr>
          <w:sz w:val="20"/>
          <w:szCs w:val="20"/>
          <w:color w:val="auto"/>
        </w:rPr>
      </w:pPr>
      <w:r>
        <w:rPr>
          <w:rFonts w:ascii="Courier New" w:cs="Courier New" w:eastAsia="Courier New" w:hAnsi="Courier New"/>
          <w:sz w:val="15"/>
          <w:szCs w:val="15"/>
          <w:color w:val="auto"/>
        </w:rPr>
        <w:t>Nine individuals have been nominated to serve as Directors for the ensuing year and until their successors shall have been duly elected and qualified. The persons named in the accompanying proxy have advised management that unless authority is withheld in the proxy, they intend to vote for the election of the individuals listed in the table on the following page. Management does not contemplate that any of the nominees named in the table will be unable, or will decline, to serve; however, if any of the nominees is unable to serve or declines to serve, the persons named in the accompanying proxy may vote for another person, or persons, in their discretion. The following table sets forth certain information with respect to each nominee for election to the Board of Directors. All of the nominees currently serve as Directors of the Company. A summary of the background and experience of each nominee is set forth in the paragraphs following the table.</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28" w:right="1440" w:bottom="1440" w:gutter="0" w:footer="0" w:header="0"/>
        </w:sectPr>
      </w:pPr>
    </w:p>
    <w:bookmarkStart w:id="5" w:name="page6"/>
    <w:bookmarkEnd w:id="5"/>
    <w:tbl>
      <w:tblPr>
        <w:tblLayout w:type="fixed"/>
        <w:tblInd w:w="5" w:type="dxa"/>
        <w:tblCellMar>
          <w:top w:w="0" w:type="dxa"/>
          <w:left w:w="0" w:type="dxa"/>
          <w:bottom w:w="0" w:type="dxa"/>
          <w:right w:w="0" w:type="dxa"/>
        </w:tblCellMar>
      </w:tblPr>
      <w:tr>
        <w:trPr>
          <w:trHeight w:val="172"/>
        </w:trPr>
        <w:tc>
          <w:tcPr>
            <w:tcW w:w="1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0" w:type="dxa"/>
            <w:vAlign w:val="bottom"/>
          </w:tcPr>
          <w:p>
            <w:pPr>
              <w:jc w:val="center"/>
              <w:ind w:left="43"/>
              <w:spacing w:after="0"/>
              <w:rPr>
                <w:sz w:val="20"/>
                <w:szCs w:val="20"/>
                <w:color w:val="auto"/>
              </w:rPr>
            </w:pPr>
            <w:r>
              <w:rPr>
                <w:rFonts w:ascii="Courier New" w:cs="Courier New" w:eastAsia="Courier New" w:hAnsi="Courier New"/>
                <w:sz w:val="15"/>
                <w:szCs w:val="15"/>
                <w:color w:val="auto"/>
              </w:rPr>
              <w:t>YEAR FIRST</w:t>
            </w:r>
          </w:p>
        </w:tc>
      </w:tr>
      <w:tr>
        <w:trPr>
          <w:trHeight w:val="177"/>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NAME AND POSITION</w:t>
            </w:r>
          </w:p>
        </w:tc>
        <w:tc>
          <w:tcPr>
            <w:tcW w:w="214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AGE AT</w:t>
            </w:r>
          </w:p>
        </w:tc>
        <w:tc>
          <w:tcPr>
            <w:tcW w:w="1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BECAME DIRECTOR</w:t>
            </w:r>
          </w:p>
        </w:tc>
      </w:tr>
      <w:tr>
        <w:trPr>
          <w:trHeight w:val="177"/>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WITH THE COMPANY</w:t>
            </w:r>
          </w:p>
        </w:tc>
        <w:tc>
          <w:tcPr>
            <w:tcW w:w="21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MARCH 31, 1996</w:t>
            </w:r>
          </w:p>
        </w:tc>
        <w:tc>
          <w:tcPr>
            <w:tcW w:w="1800" w:type="dxa"/>
            <w:vAlign w:val="bottom"/>
          </w:tcPr>
          <w:p>
            <w:pPr>
              <w:jc w:val="center"/>
              <w:ind w:left="43"/>
              <w:spacing w:after="0"/>
              <w:rPr>
                <w:sz w:val="20"/>
                <w:szCs w:val="20"/>
                <w:color w:val="auto"/>
              </w:rPr>
            </w:pPr>
            <w:r>
              <w:rPr>
                <w:rFonts w:ascii="Courier New" w:cs="Courier New" w:eastAsia="Courier New" w:hAnsi="Courier New"/>
                <w:sz w:val="15"/>
                <w:szCs w:val="15"/>
                <w:color w:val="auto"/>
              </w:rPr>
              <w:t>OF THE COMPANY</w:t>
            </w:r>
          </w:p>
        </w:tc>
      </w:tr>
      <w:tr>
        <w:trPr>
          <w:trHeight w:val="177"/>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1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Ralph R. Weiser,</w:t>
            </w:r>
          </w:p>
        </w:tc>
        <w:tc>
          <w:tcPr>
            <w:tcW w:w="2140" w:type="dxa"/>
            <w:vAlign w:val="bottom"/>
          </w:tcPr>
          <w:p>
            <w:pPr>
              <w:jc w:val="right"/>
              <w:ind w:right="1083"/>
              <w:spacing w:after="0"/>
              <w:rPr>
                <w:sz w:val="20"/>
                <w:szCs w:val="20"/>
                <w:color w:val="auto"/>
              </w:rPr>
            </w:pPr>
            <w:r>
              <w:rPr>
                <w:rFonts w:ascii="Courier New" w:cs="Courier New" w:eastAsia="Courier New" w:hAnsi="Courier New"/>
                <w:sz w:val="15"/>
                <w:szCs w:val="15"/>
                <w:color w:val="auto"/>
              </w:rPr>
              <w:t>70</w:t>
            </w:r>
          </w:p>
        </w:tc>
        <w:tc>
          <w:tcPr>
            <w:tcW w:w="1800" w:type="dxa"/>
            <w:vAlign w:val="bottom"/>
          </w:tcPr>
          <w:p>
            <w:pPr>
              <w:jc w:val="center"/>
              <w:ind w:left="43"/>
              <w:spacing w:after="0"/>
              <w:rPr>
                <w:sz w:val="20"/>
                <w:szCs w:val="20"/>
                <w:color w:val="auto"/>
              </w:rPr>
            </w:pPr>
            <w:r>
              <w:rPr>
                <w:rFonts w:ascii="Courier New" w:cs="Courier New" w:eastAsia="Courier New" w:hAnsi="Courier New"/>
                <w:sz w:val="15"/>
                <w:szCs w:val="15"/>
                <w:color w:val="auto"/>
                <w:w w:val="99"/>
              </w:rPr>
              <w:t>1984</w:t>
            </w:r>
          </w:p>
        </w:tc>
      </w:tr>
      <w:tr>
        <w:trPr>
          <w:trHeight w:val="177"/>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Chairman of the Board</w:t>
            </w:r>
          </w:p>
        </w:tc>
        <w:tc>
          <w:tcPr>
            <w:tcW w:w="21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of Directors</w:t>
            </w:r>
          </w:p>
        </w:tc>
        <w:tc>
          <w:tcPr>
            <w:tcW w:w="16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55"/>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Jerrold Blair,</w:t>
            </w:r>
          </w:p>
        </w:tc>
        <w:tc>
          <w:tcPr>
            <w:tcW w:w="2140" w:type="dxa"/>
            <w:vAlign w:val="bottom"/>
          </w:tcPr>
          <w:p>
            <w:pPr>
              <w:jc w:val="right"/>
              <w:ind w:right="1083"/>
              <w:spacing w:after="0"/>
              <w:rPr>
                <w:sz w:val="20"/>
                <w:szCs w:val="20"/>
                <w:color w:val="auto"/>
              </w:rPr>
            </w:pPr>
            <w:r>
              <w:rPr>
                <w:rFonts w:ascii="Courier New" w:cs="Courier New" w:eastAsia="Courier New" w:hAnsi="Courier New"/>
                <w:sz w:val="15"/>
                <w:szCs w:val="15"/>
                <w:color w:val="auto"/>
              </w:rPr>
              <w:t>58</w:t>
            </w:r>
          </w:p>
        </w:tc>
        <w:tc>
          <w:tcPr>
            <w:tcW w:w="1800" w:type="dxa"/>
            <w:vAlign w:val="bottom"/>
          </w:tcPr>
          <w:p>
            <w:pPr>
              <w:jc w:val="center"/>
              <w:ind w:left="43"/>
              <w:spacing w:after="0"/>
              <w:rPr>
                <w:sz w:val="20"/>
                <w:szCs w:val="20"/>
                <w:color w:val="auto"/>
              </w:rPr>
            </w:pPr>
            <w:r>
              <w:rPr>
                <w:rFonts w:ascii="Courier New" w:cs="Courier New" w:eastAsia="Courier New" w:hAnsi="Courier New"/>
                <w:sz w:val="15"/>
                <w:szCs w:val="15"/>
                <w:color w:val="auto"/>
                <w:w w:val="99"/>
              </w:rPr>
              <w:t>1985</w:t>
            </w: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Director and</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President</w:t>
            </w:r>
          </w:p>
        </w:tc>
        <w:tc>
          <w:tcPr>
            <w:tcW w:w="21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55"/>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Ralph R. Feuerring,</w:t>
            </w:r>
          </w:p>
        </w:tc>
        <w:tc>
          <w:tcPr>
            <w:tcW w:w="2140" w:type="dxa"/>
            <w:vAlign w:val="bottom"/>
          </w:tcPr>
          <w:p>
            <w:pPr>
              <w:jc w:val="right"/>
              <w:ind w:right="1083"/>
              <w:spacing w:after="0"/>
              <w:rPr>
                <w:sz w:val="20"/>
                <w:szCs w:val="20"/>
                <w:color w:val="auto"/>
              </w:rPr>
            </w:pPr>
            <w:r>
              <w:rPr>
                <w:rFonts w:ascii="Courier New" w:cs="Courier New" w:eastAsia="Courier New" w:hAnsi="Courier New"/>
                <w:sz w:val="15"/>
                <w:szCs w:val="15"/>
                <w:color w:val="auto"/>
              </w:rPr>
              <w:t>73</w:t>
            </w:r>
          </w:p>
        </w:tc>
        <w:tc>
          <w:tcPr>
            <w:tcW w:w="1800" w:type="dxa"/>
            <w:vAlign w:val="bottom"/>
          </w:tcPr>
          <w:p>
            <w:pPr>
              <w:jc w:val="center"/>
              <w:ind w:left="43"/>
              <w:spacing w:after="0"/>
              <w:rPr>
                <w:sz w:val="20"/>
                <w:szCs w:val="20"/>
                <w:color w:val="auto"/>
              </w:rPr>
            </w:pPr>
            <w:r>
              <w:rPr>
                <w:rFonts w:ascii="Courier New" w:cs="Courier New" w:eastAsia="Courier New" w:hAnsi="Courier New"/>
                <w:sz w:val="15"/>
                <w:szCs w:val="15"/>
                <w:color w:val="auto"/>
                <w:w w:val="99"/>
              </w:rPr>
              <w:t>1988</w:t>
            </w: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Director and</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Member</w:t>
            </w:r>
          </w:p>
        </w:tc>
        <w:tc>
          <w:tcPr>
            <w:tcW w:w="21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77"/>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of Audit Committee</w:t>
            </w:r>
          </w:p>
        </w:tc>
        <w:tc>
          <w:tcPr>
            <w:tcW w:w="21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55"/>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John R. Benbow,</w:t>
            </w:r>
          </w:p>
        </w:tc>
        <w:tc>
          <w:tcPr>
            <w:tcW w:w="2140" w:type="dxa"/>
            <w:vAlign w:val="bottom"/>
          </w:tcPr>
          <w:p>
            <w:pPr>
              <w:jc w:val="right"/>
              <w:ind w:right="1083"/>
              <w:spacing w:after="0"/>
              <w:rPr>
                <w:sz w:val="20"/>
                <w:szCs w:val="20"/>
                <w:color w:val="auto"/>
              </w:rPr>
            </w:pPr>
            <w:r>
              <w:rPr>
                <w:rFonts w:ascii="Courier New" w:cs="Courier New" w:eastAsia="Courier New" w:hAnsi="Courier New"/>
                <w:sz w:val="15"/>
                <w:szCs w:val="15"/>
                <w:color w:val="auto"/>
              </w:rPr>
              <w:t>64</w:t>
            </w:r>
          </w:p>
        </w:tc>
        <w:tc>
          <w:tcPr>
            <w:tcW w:w="1800" w:type="dxa"/>
            <w:vAlign w:val="bottom"/>
          </w:tcPr>
          <w:p>
            <w:pPr>
              <w:jc w:val="center"/>
              <w:ind w:left="43"/>
              <w:spacing w:after="0"/>
              <w:rPr>
                <w:sz w:val="20"/>
                <w:szCs w:val="20"/>
                <w:color w:val="auto"/>
              </w:rPr>
            </w:pPr>
            <w:r>
              <w:rPr>
                <w:rFonts w:ascii="Courier New" w:cs="Courier New" w:eastAsia="Courier New" w:hAnsi="Courier New"/>
                <w:sz w:val="15"/>
                <w:szCs w:val="15"/>
                <w:color w:val="auto"/>
                <w:w w:val="99"/>
              </w:rPr>
              <w:t>1989</w:t>
            </w: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Director and</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Chairman</w:t>
            </w:r>
          </w:p>
        </w:tc>
        <w:tc>
          <w:tcPr>
            <w:tcW w:w="21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77"/>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of Audit Committee and</w:t>
            </w:r>
          </w:p>
        </w:tc>
        <w:tc>
          <w:tcPr>
            <w:tcW w:w="21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Compensation</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Committee</w:t>
            </w:r>
          </w:p>
        </w:tc>
        <w:tc>
          <w:tcPr>
            <w:tcW w:w="21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55"/>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Phillip S. Bradley,</w:t>
            </w:r>
          </w:p>
        </w:tc>
        <w:tc>
          <w:tcPr>
            <w:tcW w:w="2140" w:type="dxa"/>
            <w:vAlign w:val="bottom"/>
          </w:tcPr>
          <w:p>
            <w:pPr>
              <w:jc w:val="right"/>
              <w:ind w:right="1083"/>
              <w:spacing w:after="0"/>
              <w:rPr>
                <w:sz w:val="20"/>
                <w:szCs w:val="20"/>
                <w:color w:val="auto"/>
              </w:rPr>
            </w:pPr>
            <w:r>
              <w:rPr>
                <w:rFonts w:ascii="Courier New" w:cs="Courier New" w:eastAsia="Courier New" w:hAnsi="Courier New"/>
                <w:sz w:val="15"/>
                <w:szCs w:val="15"/>
                <w:color w:val="auto"/>
              </w:rPr>
              <w:t>57</w:t>
            </w:r>
          </w:p>
        </w:tc>
        <w:tc>
          <w:tcPr>
            <w:tcW w:w="1800" w:type="dxa"/>
            <w:vAlign w:val="bottom"/>
          </w:tcPr>
          <w:p>
            <w:pPr>
              <w:jc w:val="center"/>
              <w:ind w:left="43"/>
              <w:spacing w:after="0"/>
              <w:rPr>
                <w:sz w:val="20"/>
                <w:szCs w:val="20"/>
                <w:color w:val="auto"/>
              </w:rPr>
            </w:pPr>
            <w:r>
              <w:rPr>
                <w:rFonts w:ascii="Courier New" w:cs="Courier New" w:eastAsia="Courier New" w:hAnsi="Courier New"/>
                <w:sz w:val="15"/>
                <w:szCs w:val="15"/>
                <w:color w:val="auto"/>
                <w:w w:val="99"/>
              </w:rPr>
              <w:t>1990</w:t>
            </w: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Director and</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President of</w:t>
            </w:r>
          </w:p>
        </w:tc>
        <w:tc>
          <w:tcPr>
            <w:tcW w:w="21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77"/>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Advance Petroleum, Inc.</w:t>
            </w:r>
          </w:p>
        </w:tc>
        <w:tc>
          <w:tcPr>
            <w:tcW w:w="21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55"/>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Celestin A. Durand, III,</w:t>
            </w:r>
          </w:p>
        </w:tc>
        <w:tc>
          <w:tcPr>
            <w:tcW w:w="2140" w:type="dxa"/>
            <w:vAlign w:val="bottom"/>
          </w:tcPr>
          <w:p>
            <w:pPr>
              <w:jc w:val="right"/>
              <w:ind w:right="1083"/>
              <w:spacing w:after="0"/>
              <w:rPr>
                <w:sz w:val="20"/>
                <w:szCs w:val="20"/>
                <w:color w:val="auto"/>
              </w:rPr>
            </w:pPr>
            <w:r>
              <w:rPr>
                <w:rFonts w:ascii="Courier New" w:cs="Courier New" w:eastAsia="Courier New" w:hAnsi="Courier New"/>
                <w:sz w:val="15"/>
                <w:szCs w:val="15"/>
                <w:color w:val="auto"/>
              </w:rPr>
              <w:t>59</w:t>
            </w:r>
          </w:p>
        </w:tc>
        <w:tc>
          <w:tcPr>
            <w:tcW w:w="1800" w:type="dxa"/>
            <w:vAlign w:val="bottom"/>
          </w:tcPr>
          <w:p>
            <w:pPr>
              <w:jc w:val="center"/>
              <w:ind w:left="43"/>
              <w:spacing w:after="0"/>
              <w:rPr>
                <w:sz w:val="20"/>
                <w:szCs w:val="20"/>
                <w:color w:val="auto"/>
              </w:rPr>
            </w:pPr>
            <w:r>
              <w:rPr>
                <w:rFonts w:ascii="Courier New" w:cs="Courier New" w:eastAsia="Courier New" w:hAnsi="Courier New"/>
                <w:sz w:val="15"/>
                <w:szCs w:val="15"/>
                <w:color w:val="auto"/>
                <w:w w:val="99"/>
              </w:rPr>
              <w:t>1993</w:t>
            </w: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Director and</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Member of</w:t>
            </w:r>
          </w:p>
        </w:tc>
        <w:tc>
          <w:tcPr>
            <w:tcW w:w="21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Compensation</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Committee</w:t>
            </w:r>
          </w:p>
        </w:tc>
        <w:tc>
          <w:tcPr>
            <w:tcW w:w="21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55"/>
        </w:trPr>
        <w:tc>
          <w:tcPr>
            <w:tcW w:w="1140" w:type="dxa"/>
            <w:vAlign w:val="bottom"/>
          </w:tcPr>
          <w:p>
            <w:pPr>
              <w:spacing w:after="0"/>
              <w:rPr>
                <w:sz w:val="20"/>
                <w:szCs w:val="20"/>
                <w:color w:val="auto"/>
              </w:rPr>
            </w:pPr>
            <w:r>
              <w:rPr>
                <w:rFonts w:ascii="Courier New" w:cs="Courier New" w:eastAsia="Courier New" w:hAnsi="Courier New"/>
                <w:sz w:val="15"/>
                <w:szCs w:val="15"/>
                <w:color w:val="auto"/>
              </w:rPr>
              <w:t>Myles Klein,</w:t>
            </w:r>
          </w:p>
        </w:tc>
        <w:tc>
          <w:tcPr>
            <w:tcW w:w="1660" w:type="dxa"/>
            <w:vAlign w:val="bottom"/>
          </w:tcPr>
          <w:p>
            <w:pPr>
              <w:spacing w:after="0"/>
              <w:rPr>
                <w:sz w:val="24"/>
                <w:szCs w:val="24"/>
                <w:color w:val="auto"/>
              </w:rPr>
            </w:pPr>
          </w:p>
        </w:tc>
        <w:tc>
          <w:tcPr>
            <w:tcW w:w="2140" w:type="dxa"/>
            <w:vAlign w:val="bottom"/>
          </w:tcPr>
          <w:p>
            <w:pPr>
              <w:jc w:val="right"/>
              <w:ind w:right="1083"/>
              <w:spacing w:after="0"/>
              <w:rPr>
                <w:sz w:val="20"/>
                <w:szCs w:val="20"/>
                <w:color w:val="auto"/>
              </w:rPr>
            </w:pPr>
            <w:r>
              <w:rPr>
                <w:rFonts w:ascii="Courier New" w:cs="Courier New" w:eastAsia="Courier New" w:hAnsi="Courier New"/>
                <w:sz w:val="15"/>
                <w:szCs w:val="15"/>
                <w:color w:val="auto"/>
              </w:rPr>
              <w:t>57</w:t>
            </w:r>
          </w:p>
        </w:tc>
        <w:tc>
          <w:tcPr>
            <w:tcW w:w="1800" w:type="dxa"/>
            <w:vAlign w:val="bottom"/>
          </w:tcPr>
          <w:p>
            <w:pPr>
              <w:jc w:val="center"/>
              <w:ind w:left="43"/>
              <w:spacing w:after="0"/>
              <w:rPr>
                <w:sz w:val="20"/>
                <w:szCs w:val="20"/>
                <w:color w:val="auto"/>
              </w:rPr>
            </w:pPr>
            <w:r>
              <w:rPr>
                <w:rFonts w:ascii="Courier New" w:cs="Courier New" w:eastAsia="Courier New" w:hAnsi="Courier New"/>
                <w:sz w:val="15"/>
                <w:szCs w:val="15"/>
                <w:color w:val="auto"/>
                <w:w w:val="99"/>
              </w:rPr>
              <w:t>1995</w:t>
            </w: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Director and</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Member</w:t>
            </w:r>
          </w:p>
        </w:tc>
        <w:tc>
          <w:tcPr>
            <w:tcW w:w="21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77"/>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of Audit Committee and</w:t>
            </w:r>
          </w:p>
        </w:tc>
        <w:tc>
          <w:tcPr>
            <w:tcW w:w="21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Compensation</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Committee</w:t>
            </w:r>
          </w:p>
        </w:tc>
        <w:tc>
          <w:tcPr>
            <w:tcW w:w="21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55"/>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Michael J. Kasbar,</w:t>
            </w:r>
          </w:p>
        </w:tc>
        <w:tc>
          <w:tcPr>
            <w:tcW w:w="2140" w:type="dxa"/>
            <w:vAlign w:val="bottom"/>
          </w:tcPr>
          <w:p>
            <w:pPr>
              <w:jc w:val="right"/>
              <w:ind w:right="1083"/>
              <w:spacing w:after="0"/>
              <w:rPr>
                <w:sz w:val="20"/>
                <w:szCs w:val="20"/>
                <w:color w:val="auto"/>
              </w:rPr>
            </w:pPr>
            <w:r>
              <w:rPr>
                <w:rFonts w:ascii="Courier New" w:cs="Courier New" w:eastAsia="Courier New" w:hAnsi="Courier New"/>
                <w:sz w:val="15"/>
                <w:szCs w:val="15"/>
                <w:color w:val="auto"/>
              </w:rPr>
              <w:t>39</w:t>
            </w:r>
          </w:p>
        </w:tc>
        <w:tc>
          <w:tcPr>
            <w:tcW w:w="1800" w:type="dxa"/>
            <w:vAlign w:val="bottom"/>
          </w:tcPr>
          <w:p>
            <w:pPr>
              <w:jc w:val="center"/>
              <w:ind w:left="43"/>
              <w:spacing w:after="0"/>
              <w:rPr>
                <w:sz w:val="20"/>
                <w:szCs w:val="20"/>
                <w:color w:val="auto"/>
              </w:rPr>
            </w:pPr>
            <w:r>
              <w:rPr>
                <w:rFonts w:ascii="Courier New" w:cs="Courier New" w:eastAsia="Courier New" w:hAnsi="Courier New"/>
                <w:sz w:val="15"/>
                <w:szCs w:val="15"/>
                <w:color w:val="auto"/>
                <w:w w:val="99"/>
              </w:rPr>
              <w:t>1995</w:t>
            </w: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Director and</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Senior Vice</w:t>
            </w:r>
          </w:p>
        </w:tc>
        <w:tc>
          <w:tcPr>
            <w:tcW w:w="21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President of</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the Company,</w:t>
            </w:r>
          </w:p>
        </w:tc>
        <w:tc>
          <w:tcPr>
            <w:tcW w:w="21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77"/>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and Chief Executive Officer</w:t>
            </w:r>
          </w:p>
        </w:tc>
        <w:tc>
          <w:tcPr>
            <w:tcW w:w="21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of Trans-Tec</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Services, Inc.</w:t>
            </w:r>
          </w:p>
        </w:tc>
        <w:tc>
          <w:tcPr>
            <w:tcW w:w="21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55"/>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Paul H. Stebbins,</w:t>
            </w:r>
          </w:p>
        </w:tc>
        <w:tc>
          <w:tcPr>
            <w:tcW w:w="2140" w:type="dxa"/>
            <w:vAlign w:val="bottom"/>
          </w:tcPr>
          <w:p>
            <w:pPr>
              <w:jc w:val="right"/>
              <w:ind w:right="1083"/>
              <w:spacing w:after="0"/>
              <w:rPr>
                <w:sz w:val="20"/>
                <w:szCs w:val="20"/>
                <w:color w:val="auto"/>
              </w:rPr>
            </w:pPr>
            <w:r>
              <w:rPr>
                <w:rFonts w:ascii="Courier New" w:cs="Courier New" w:eastAsia="Courier New" w:hAnsi="Courier New"/>
                <w:sz w:val="15"/>
                <w:szCs w:val="15"/>
                <w:color w:val="auto"/>
              </w:rPr>
              <w:t>39</w:t>
            </w:r>
          </w:p>
        </w:tc>
        <w:tc>
          <w:tcPr>
            <w:tcW w:w="1800" w:type="dxa"/>
            <w:vAlign w:val="bottom"/>
          </w:tcPr>
          <w:p>
            <w:pPr>
              <w:jc w:val="center"/>
              <w:ind w:left="43"/>
              <w:spacing w:after="0"/>
              <w:rPr>
                <w:sz w:val="20"/>
                <w:szCs w:val="20"/>
                <w:color w:val="auto"/>
              </w:rPr>
            </w:pPr>
            <w:r>
              <w:rPr>
                <w:rFonts w:ascii="Courier New" w:cs="Courier New" w:eastAsia="Courier New" w:hAnsi="Courier New"/>
                <w:sz w:val="15"/>
                <w:szCs w:val="15"/>
                <w:color w:val="auto"/>
                <w:w w:val="99"/>
              </w:rPr>
              <w:t>1995</w:t>
            </w: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Director and</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Senior Vice</w:t>
            </w:r>
          </w:p>
        </w:tc>
        <w:tc>
          <w:tcPr>
            <w:tcW w:w="21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President of</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the Company,</w:t>
            </w:r>
          </w:p>
        </w:tc>
        <w:tc>
          <w:tcPr>
            <w:tcW w:w="21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77"/>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and Chief Operating Officer</w:t>
            </w:r>
          </w:p>
        </w:tc>
        <w:tc>
          <w:tcPr>
            <w:tcW w:w="21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of Trans-Tec</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Services, Inc.</w:t>
            </w:r>
          </w:p>
        </w:tc>
        <w:tc>
          <w:tcPr>
            <w:tcW w:w="2140" w:type="dxa"/>
            <w:vAlign w:val="bottom"/>
          </w:tcPr>
          <w:p>
            <w:pPr>
              <w:spacing w:after="0"/>
              <w:rPr>
                <w:sz w:val="15"/>
                <w:szCs w:val="15"/>
                <w:color w:val="auto"/>
              </w:rPr>
            </w:pPr>
          </w:p>
        </w:tc>
        <w:tc>
          <w:tcPr>
            <w:tcW w:w="1800" w:type="dxa"/>
            <w:vAlign w:val="bottom"/>
          </w:tcPr>
          <w:p>
            <w:pPr>
              <w:spacing w:after="0"/>
              <w:rPr>
                <w:sz w:val="15"/>
                <w:szCs w:val="15"/>
                <w:color w:val="auto"/>
              </w:rPr>
            </w:pPr>
          </w:p>
        </w:tc>
      </w:tr>
    </w:tbl>
    <w:p>
      <w:pPr>
        <w:spacing w:after="0" w:line="5" w:lineRule="exact"/>
        <w:rPr>
          <w:sz w:val="20"/>
          <w:szCs w:val="20"/>
          <w:color w:val="auto"/>
        </w:rPr>
      </w:pPr>
    </w:p>
    <w:p>
      <w:pPr>
        <w:ind w:left="185" w:hanging="185"/>
        <w:spacing w:after="0"/>
        <w:tabs>
          <w:tab w:leader="none" w:pos="18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360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w:t>
      </w:r>
    </w:p>
    <w:p>
      <w:pPr>
        <w:sectPr>
          <w:pgSz w:w="11900" w:h="16838" w:orient="portrait"/>
          <w:cols w:equalWidth="0" w:num="1">
            <w:col w:w="10225"/>
          </w:cols>
          <w:pgMar w:left="235" w:top="828" w:right="1440" w:bottom="1440" w:gutter="0" w:footer="0" w:header="0"/>
        </w:sectPr>
      </w:pPr>
    </w:p>
    <w:bookmarkStart w:id="6" w:name="page7"/>
    <w:bookmarkEnd w:id="6"/>
    <w:p>
      <w:pPr>
        <w:ind w:right="3019"/>
        <w:spacing w:after="0" w:line="253" w:lineRule="auto"/>
        <w:rPr>
          <w:sz w:val="20"/>
          <w:szCs w:val="20"/>
          <w:color w:val="auto"/>
        </w:rPr>
      </w:pPr>
      <w:r>
        <w:rPr>
          <w:rFonts w:ascii="Courier New" w:cs="Courier New" w:eastAsia="Courier New" w:hAnsi="Courier New"/>
          <w:sz w:val="15"/>
          <w:szCs w:val="15"/>
          <w:color w:val="auto"/>
        </w:rPr>
        <w:t>RALPH R. WEISER has been employed as Chairman of the Board of Directors of the Company since its organization in July 1984.</w:t>
      </w:r>
    </w:p>
    <w:p>
      <w:pPr>
        <w:spacing w:after="0" w:line="174" w:lineRule="exact"/>
        <w:rPr>
          <w:sz w:val="20"/>
          <w:szCs w:val="20"/>
          <w:color w:val="auto"/>
        </w:rPr>
      </w:pPr>
    </w:p>
    <w:p>
      <w:pPr>
        <w:ind w:right="3479"/>
        <w:spacing w:after="0" w:line="253" w:lineRule="auto"/>
        <w:rPr>
          <w:sz w:val="20"/>
          <w:szCs w:val="20"/>
          <w:color w:val="auto"/>
        </w:rPr>
      </w:pPr>
      <w:r>
        <w:rPr>
          <w:rFonts w:ascii="Courier New" w:cs="Courier New" w:eastAsia="Courier New" w:hAnsi="Courier New"/>
          <w:sz w:val="15"/>
          <w:szCs w:val="15"/>
          <w:color w:val="auto"/>
        </w:rPr>
        <w:t>JERROLD BLAIR has served as President and a Director of the Company since January 1985.</w:t>
      </w:r>
    </w:p>
    <w:p>
      <w:pPr>
        <w:spacing w:after="0" w:line="174"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RALPH R. FEUERRING, a Director of the Company, has served as a Director and chairman of the finance committee of American Premier, Inc., a mineral processing and refractory business, since 1991. Mr. Feuerring has also served as the President of Ferro Metal &amp; Chemical Corp., a mineral and alloy trading company, since 1949. Between 1960 and 1991, Mr. Feuerring served as the President and Chief Executive Officer of Ralstan Trading and Development Corporation, a mineral processing company. Ralstan Trading and Development Corporation was merged into American Premier, Inc. in 1991.</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JOHN R. BENBOW, a Director of the Company, has served as President of Benbow &amp; Associates, Inc., a real estate development firm located in Coral Gables, Florida, since June 1988. From December 1986 to May 1988, he was employed as President of Weiner, Kane &amp; Benbow, Inc., an investment banking and stock brokerage firm located in Miami, Florida. From May 1983 to November 1986, Mr. Benbow was employed as President of Florida National Bank, formerly a commercial bank located in Miami, Florida.</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PHILLIP S. BRADLEY has served as a Director of the Company since 1990, and as President of Advance Petroleum, Inc. ("Advance"), a wholly-owned subsidiary of the Company, since January 1988. Mr. Bradley was a co-founder of Advance and served as Vice President from its organization in 1983 until January 1988. From 1967 to 1982, Mr. Bradley was an airline captain for Braniff International Airways and Chairman of the Braniff Airline Pilots Association.</w:t>
      </w:r>
    </w:p>
    <w:p>
      <w:pPr>
        <w:spacing w:after="0" w:line="176"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CELESTIN A. DURAND, III, a Director of the Company, served as a vice president of Merrill Lynch Specialists, Inc., a unit of Merrill Lynch Inc., from 1989 until he retired in 1992. Merrill Lynch Specialists, Inc. makes a market in the securities of over one hundred companies listed on the New York Stock Exchange. Mr. Durand served as managing partner of Beauchamps &amp; Co. from 1972 to 1989, when it was acquired by Merrill Lynch.</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MYLES KLEIN has served as a Director of the Company since February 1995. He has been a partner in the accounting firm of Klein &amp; Barreto, P.A., in Miami, Florida, since 1985. From 1971 until 1985, Mr. Klein was a partner in the international accounting and auditing firm of Grant Thornton, eventually becoming the partner in charge of the tax department for Grant Thornton's South Florida offices.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828" w:right="1440" w:bottom="1440" w:gutter="0" w:footer="0" w:header="0"/>
        </w:sectPr>
      </w:pPr>
    </w:p>
    <w:bookmarkStart w:id="7" w:name="page8"/>
    <w:bookmarkEnd w:id="7"/>
    <w:p>
      <w:pPr>
        <w:ind w:right="2839"/>
        <w:spacing w:after="0" w:line="250" w:lineRule="auto"/>
        <w:rPr>
          <w:sz w:val="20"/>
          <w:szCs w:val="20"/>
          <w:color w:val="auto"/>
        </w:rPr>
      </w:pPr>
      <w:r>
        <w:rPr>
          <w:rFonts w:ascii="Courier New" w:cs="Courier New" w:eastAsia="Courier New" w:hAnsi="Courier New"/>
          <w:sz w:val="15"/>
          <w:szCs w:val="15"/>
          <w:color w:val="auto"/>
        </w:rPr>
        <w:t>MICHAEL J. KASBAR has served as a Director and Senior Vice President of the Company since June 1995 and has served as Chairman and Chief Executive Officer of Trans-Tec Services, Inc. ("Trans-Tec Delaware"), a wholly owned subsidiary of the Company, since January 1995. From September 1985 to December 1994, Mr. Kasbar was an officer, shareholder, and director of Trans-Tec Services, Inc., a New York corporation ("Trans-Tec New York") and its affiliated companies. On January 3, 1995, Trans-Tec Delaware purchased substantially all of the assets of Trans-Tec New York and the outstanding stock of its affiliate Trans-Tec Services (U.K.) Ltd. Prior to founding Trans-Tec New York, Mr. Kasbar founded and worked for Gray Bunkering Services, Inc. from February 1983 through August 1985.</w:t>
      </w:r>
    </w:p>
    <w:p>
      <w:pPr>
        <w:spacing w:after="0" w:line="182"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PAUL H. STEBBINS has served as a Director and Senior Vice President of the Company since June 1995 and has served as President and Chief Operating Officer of Trans-Tec Delaware since January 1995. From September 1985 to December 1994, Mr. Stebbins was an officer, shareholder, and director of Trans-Tec New York and its affiliated companies. Prior to founding Trans-Tec New York, Mr. Stebbins was employed by Gray Bunkering Services, Inc. from October 1983 to September 1985 as a bunker broker.</w:t>
      </w:r>
    </w:p>
    <w:p>
      <w:pPr>
        <w:spacing w:after="0" w:line="176" w:lineRule="exact"/>
        <w:rPr>
          <w:sz w:val="20"/>
          <w:szCs w:val="20"/>
          <w:color w:val="auto"/>
        </w:rPr>
      </w:pPr>
    </w:p>
    <w:p>
      <w:pPr>
        <w:ind w:right="2839" w:firstLine="1200"/>
        <w:spacing w:after="0" w:line="252" w:lineRule="auto"/>
        <w:rPr>
          <w:sz w:val="20"/>
          <w:szCs w:val="20"/>
          <w:color w:val="auto"/>
        </w:rPr>
      </w:pPr>
      <w:r>
        <w:rPr>
          <w:rFonts w:ascii="Courier New" w:cs="Courier New" w:eastAsia="Courier New" w:hAnsi="Courier New"/>
          <w:sz w:val="15"/>
          <w:szCs w:val="15"/>
          <w:color w:val="auto"/>
        </w:rPr>
        <w:t>For a description of the principal terms of the Company's acquisition of Trans-Tec New York and the terms of the Company's employment of Messrs. Kasbar and Stebbins, refer to "Transactions with Management and Others."</w:t>
      </w:r>
    </w:p>
    <w:p>
      <w:pPr>
        <w:spacing w:after="0" w:line="35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BOARD OF DIRECTORS</w:t>
      </w:r>
    </w:p>
    <w:p>
      <w:pPr>
        <w:spacing w:after="0" w:line="185" w:lineRule="exact"/>
        <w:rPr>
          <w:sz w:val="20"/>
          <w:szCs w:val="20"/>
          <w:color w:val="auto"/>
        </w:rPr>
      </w:pPr>
    </w:p>
    <w:p>
      <w:pPr>
        <w:ind w:right="2939" w:firstLine="1200"/>
        <w:spacing w:after="0" w:line="251" w:lineRule="auto"/>
        <w:rPr>
          <w:sz w:val="20"/>
          <w:szCs w:val="20"/>
          <w:color w:val="auto"/>
        </w:rPr>
      </w:pPr>
      <w:r>
        <w:rPr>
          <w:rFonts w:ascii="Courier New" w:cs="Courier New" w:eastAsia="Courier New" w:hAnsi="Courier New"/>
          <w:sz w:val="15"/>
          <w:szCs w:val="15"/>
          <w:color w:val="auto"/>
        </w:rPr>
        <w:t>During the fiscal year ended March 31, 1996 the Company's Board of Directors held six formal meetings. The Board of Directors has two committees, the audit committee and the compensation committee. All of the Directors attended at least 75% of the meetings of the Board and of the committees on which they served.</w:t>
      </w:r>
    </w:p>
    <w:p>
      <w:pPr>
        <w:spacing w:after="0" w:line="176" w:lineRule="exact"/>
        <w:rPr>
          <w:sz w:val="20"/>
          <w:szCs w:val="20"/>
          <w:color w:val="auto"/>
        </w:rPr>
      </w:pPr>
    </w:p>
    <w:p>
      <w:pPr>
        <w:ind w:right="2839" w:firstLine="1200"/>
        <w:spacing w:after="0" w:line="251" w:lineRule="auto"/>
        <w:rPr>
          <w:sz w:val="20"/>
          <w:szCs w:val="20"/>
          <w:color w:val="auto"/>
        </w:rPr>
      </w:pPr>
      <w:r>
        <w:rPr>
          <w:rFonts w:ascii="Courier New" w:cs="Courier New" w:eastAsia="Courier New" w:hAnsi="Courier New"/>
          <w:sz w:val="15"/>
          <w:szCs w:val="15"/>
          <w:color w:val="auto"/>
        </w:rPr>
        <w:t>The audit committee ("Audit Committee") consists of John R. Benbow, Chairman, Ralph R. Feuerring and Myles Klein. The Audit Committee held three meetings during the fiscal year ended March 31, 1996. The Audit Committee performs the following principal functions: recommends to the Board of Directors the engagement of independent auditors for the ensuing year; reviews the scope and budget for the annual audit; reviews with independent auditors the results of the audit engagement, including review of the financial statements and the management letter; and reviews the scope of, and compliance with, the Company's internal controls.</w:t>
      </w:r>
    </w:p>
    <w:p>
      <w:pPr>
        <w:spacing w:after="0" w:line="175" w:lineRule="exact"/>
        <w:rPr>
          <w:sz w:val="20"/>
          <w:szCs w:val="20"/>
          <w:color w:val="auto"/>
        </w:rPr>
      </w:pPr>
    </w:p>
    <w:p>
      <w:pPr>
        <w:ind w:right="2839" w:firstLine="1200"/>
        <w:spacing w:after="0" w:line="250" w:lineRule="auto"/>
        <w:rPr>
          <w:sz w:val="20"/>
          <w:szCs w:val="20"/>
          <w:color w:val="auto"/>
        </w:rPr>
      </w:pPr>
      <w:r>
        <w:rPr>
          <w:rFonts w:ascii="Courier New" w:cs="Courier New" w:eastAsia="Courier New" w:hAnsi="Courier New"/>
          <w:sz w:val="15"/>
          <w:szCs w:val="15"/>
          <w:color w:val="auto"/>
        </w:rPr>
        <w:t>The compensation committee ("Compensation Committee"), established by the Board of Directors in 1995, consists of John R. Benbow, Chairman, Myles Klein, and Celestin A. Durand, III. The Compensation Committee held two meetings in the fiscal year ended</w:t>
      </w:r>
    </w:p>
    <w:p>
      <w:pPr>
        <w:spacing w:after="0" w:line="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828" w:right="1440" w:bottom="1440" w:gutter="0" w:footer="0" w:header="0"/>
        </w:sectPr>
      </w:pPr>
    </w:p>
    <w:bookmarkStart w:id="8" w:name="page9"/>
    <w:bookmarkEnd w:id="8"/>
    <w:p>
      <w:pPr>
        <w:ind w:right="2839"/>
        <w:spacing w:after="0" w:line="251" w:lineRule="auto"/>
        <w:rPr>
          <w:sz w:val="20"/>
          <w:szCs w:val="20"/>
          <w:color w:val="auto"/>
        </w:rPr>
      </w:pPr>
      <w:r>
        <w:rPr>
          <w:rFonts w:ascii="Courier New" w:cs="Courier New" w:eastAsia="Courier New" w:hAnsi="Courier New"/>
          <w:sz w:val="15"/>
          <w:szCs w:val="15"/>
          <w:color w:val="auto"/>
        </w:rPr>
        <w:t>March 31, 1996. The Compensation Committee reviews and recommends to the Board of Directors the annual salary, bonus, stock options and other benefits of the Company's senior executives, reviews new and existing compensation programs, reviews and makes recommendations to the Board of Directors regarding management perquisites, administers stock option and incentive compensation plans, and administers and makes recommendations to the Board of Directors regarding performance goals for executive compensation plans.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85" w:lineRule="exact"/>
        <w:rPr>
          <w:sz w:val="20"/>
          <w:szCs w:val="20"/>
          <w:color w:val="auto"/>
        </w:rPr>
      </w:pPr>
    </w:p>
    <w:p>
      <w:pPr>
        <w:ind w:right="2839" w:firstLine="1200"/>
        <w:spacing w:after="0" w:line="251" w:lineRule="auto"/>
        <w:rPr>
          <w:sz w:val="20"/>
          <w:szCs w:val="20"/>
          <w:color w:val="auto"/>
        </w:rPr>
      </w:pPr>
      <w:r>
        <w:rPr>
          <w:rFonts w:ascii="Courier New" w:cs="Courier New" w:eastAsia="Courier New" w:hAnsi="Courier New"/>
          <w:sz w:val="15"/>
          <w:szCs w:val="15"/>
          <w:color w:val="auto"/>
        </w:rPr>
        <w:t>All Directors who are not Company employees are members of at least one Committee of the Board of Directors and receive a monthly fee of $1,667, except for the Chairman of the Audit and Compensation Committees who receives $2,292 per month. The Directors of the Company who are employed by the Company do not receive additional compensation for serving as Directors.</w:t>
      </w:r>
    </w:p>
    <w:p>
      <w:pPr>
        <w:spacing w:after="0" w:line="176" w:lineRule="exact"/>
        <w:rPr>
          <w:sz w:val="20"/>
          <w:szCs w:val="20"/>
          <w:color w:val="auto"/>
        </w:rPr>
      </w:pPr>
    </w:p>
    <w:p>
      <w:pPr>
        <w:ind w:right="2839" w:firstLine="1200"/>
        <w:spacing w:after="0" w:line="251" w:lineRule="auto"/>
        <w:rPr>
          <w:sz w:val="20"/>
          <w:szCs w:val="20"/>
          <w:color w:val="auto"/>
        </w:rPr>
      </w:pPr>
      <w:r>
        <w:rPr>
          <w:rFonts w:ascii="Courier New" w:cs="Courier New" w:eastAsia="Courier New" w:hAnsi="Courier New"/>
          <w:sz w:val="15"/>
          <w:szCs w:val="15"/>
          <w:color w:val="auto"/>
        </w:rPr>
        <w:t>Pursuant to the 1993 Non-Employee Directors Stock Option Plan, each Director who is not employed by the Company receives an option to purchase 2,500 shares of Common Stock each year, upon his re-election to the Board of Directors. The exercise price per share is the market price of the Common Stock on the date of the Company's annual shareholders meeting, which is the date the Director options are issued each year.</w:t>
      </w:r>
    </w:p>
    <w:p>
      <w:pPr>
        <w:spacing w:after="0" w:line="176" w:lineRule="exact"/>
        <w:rPr>
          <w:sz w:val="20"/>
          <w:szCs w:val="20"/>
          <w:color w:val="auto"/>
        </w:rPr>
      </w:pPr>
    </w:p>
    <w:p>
      <w:pPr>
        <w:ind w:right="3399" w:firstLine="1200"/>
        <w:spacing w:after="0" w:line="251" w:lineRule="auto"/>
        <w:rPr>
          <w:sz w:val="20"/>
          <w:szCs w:val="20"/>
          <w:color w:val="auto"/>
        </w:rPr>
      </w:pPr>
      <w:r>
        <w:rPr>
          <w:rFonts w:ascii="Courier New" w:cs="Courier New" w:eastAsia="Courier New" w:hAnsi="Courier New"/>
          <w:sz w:val="15"/>
          <w:szCs w:val="15"/>
          <w:color w:val="auto"/>
        </w:rPr>
        <w:t>During fiscal 1996, the Company made no other payments to Directors with respect to participation on the Board of Directors or Board Committees or with respect to special assignments. See "Compensation of Officers" and "Transactions with Management and Others."</w:t>
      </w:r>
    </w:p>
    <w:p>
      <w:pPr>
        <w:spacing w:after="0" w:line="17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PRINCIPAL STOCKHOLDERS AND SECURITY OWNERSHIP OF MANAGEMENT</w:t>
      </w:r>
    </w:p>
    <w:p>
      <w:pPr>
        <w:spacing w:after="0" w:line="185" w:lineRule="exact"/>
        <w:rPr>
          <w:sz w:val="20"/>
          <w:szCs w:val="20"/>
          <w:color w:val="auto"/>
        </w:rPr>
      </w:pPr>
    </w:p>
    <w:p>
      <w:pPr>
        <w:ind w:right="2939" w:firstLine="1200"/>
        <w:spacing w:after="0" w:line="250" w:lineRule="auto"/>
        <w:rPr>
          <w:sz w:val="20"/>
          <w:szCs w:val="20"/>
          <w:color w:val="auto"/>
        </w:rPr>
      </w:pPr>
      <w:r>
        <w:rPr>
          <w:rFonts w:ascii="Courier New" w:cs="Courier New" w:eastAsia="Courier New" w:hAnsi="Courier New"/>
          <w:sz w:val="15"/>
          <w:szCs w:val="15"/>
          <w:color w:val="auto"/>
        </w:rPr>
        <w:t>The following table sets forth, as of June 28, 1996, the number of shares of Common Stock of the Company owned beneficially by each nominee for Director of the Company, the five most highly compensated executive officers of the Company, and all nominees and executive officers of the Company as a group. The table also shows the name and address of each person who is known to the Company to be the beneficial owner of more than 5% of the outstanding Common Stock of the Company. Except as shown in the table, no other person is known by the Company to own beneficially more than 5% of the outstanding Common Stock of the Company. Unless otherwise stated, all shares are held with sole dispositive and voting power.</w:t>
      </w: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50" w:right="1440" w:bottom="1440" w:gutter="0" w:footer="0" w:header="0"/>
        </w:sectPr>
      </w:pPr>
    </w:p>
    <w:bookmarkStart w:id="9" w:name="page10"/>
    <w:bookmarkEnd w:id="9"/>
    <w:tbl>
      <w:tblPr>
        <w:tblLayout w:type="fixed"/>
        <w:tblInd w:w="5" w:type="dxa"/>
        <w:tblCellMar>
          <w:top w:w="0" w:type="dxa"/>
          <w:left w:w="0" w:type="dxa"/>
          <w:bottom w:w="0" w:type="dxa"/>
          <w:right w:w="0" w:type="dxa"/>
        </w:tblCellMar>
      </w:tblPr>
      <w:tr>
        <w:trPr>
          <w:trHeight w:val="172"/>
        </w:trPr>
        <w:tc>
          <w:tcPr>
            <w:tcW w:w="3320" w:type="dxa"/>
            <w:vAlign w:val="bottom"/>
          </w:tcPr>
          <w:p>
            <w:pPr>
              <w:spacing w:after="0"/>
              <w:rPr>
                <w:sz w:val="14"/>
                <w:szCs w:val="14"/>
                <w:color w:val="auto"/>
              </w:rPr>
            </w:pPr>
          </w:p>
        </w:tc>
        <w:tc>
          <w:tcPr>
            <w:tcW w:w="25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AMOUNT AND NATURE</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PERCENT</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NAME AND ADDRESS</w:t>
            </w:r>
          </w:p>
        </w:tc>
        <w:tc>
          <w:tcPr>
            <w:tcW w:w="25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OF BENEFICIAL OWNERSHIP</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OF CLASS</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5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320" w:type="dxa"/>
            <w:vAlign w:val="bottom"/>
          </w:tcPr>
          <w:p>
            <w:pPr>
              <w:spacing w:after="0"/>
              <w:rPr>
                <w:sz w:val="20"/>
                <w:szCs w:val="20"/>
                <w:color w:val="auto"/>
              </w:rPr>
            </w:pPr>
            <w:r>
              <w:rPr>
                <w:rFonts w:ascii="Courier New" w:cs="Courier New" w:eastAsia="Courier New" w:hAnsi="Courier New"/>
                <w:sz w:val="15"/>
                <w:szCs w:val="15"/>
                <w:color w:val="auto"/>
              </w:rPr>
              <w:t>David L. Babson &amp; Co., Inc.</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500,550</w:t>
            </w:r>
          </w:p>
        </w:tc>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(1)</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6.22%</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One Memorial Drive, 11th Floor</w:t>
            </w:r>
          </w:p>
        </w:tc>
        <w:tc>
          <w:tcPr>
            <w:tcW w:w="10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Cambridge, MA 02142-1300</w:t>
            </w:r>
          </w:p>
        </w:tc>
        <w:tc>
          <w:tcPr>
            <w:tcW w:w="10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55"/>
        </w:trPr>
        <w:tc>
          <w:tcPr>
            <w:tcW w:w="3320" w:type="dxa"/>
            <w:vAlign w:val="bottom"/>
          </w:tcPr>
          <w:p>
            <w:pPr>
              <w:spacing w:after="0"/>
              <w:rPr>
                <w:sz w:val="20"/>
                <w:szCs w:val="20"/>
                <w:color w:val="auto"/>
              </w:rPr>
            </w:pPr>
            <w:r>
              <w:rPr>
                <w:rFonts w:ascii="Courier New" w:cs="Courier New" w:eastAsia="Courier New" w:hAnsi="Courier New"/>
                <w:sz w:val="15"/>
                <w:szCs w:val="15"/>
                <w:color w:val="auto"/>
              </w:rPr>
              <w:t>FMR Corp.</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809,346</w:t>
            </w:r>
          </w:p>
        </w:tc>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(2)</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10.06%</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82 Devonshire Street</w:t>
            </w:r>
          </w:p>
        </w:tc>
        <w:tc>
          <w:tcPr>
            <w:tcW w:w="10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Boston, MA  02109</w:t>
            </w:r>
          </w:p>
        </w:tc>
        <w:tc>
          <w:tcPr>
            <w:tcW w:w="10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55"/>
        </w:trPr>
        <w:tc>
          <w:tcPr>
            <w:tcW w:w="3320" w:type="dxa"/>
            <w:vAlign w:val="bottom"/>
          </w:tcPr>
          <w:p>
            <w:pPr>
              <w:spacing w:after="0"/>
              <w:rPr>
                <w:sz w:val="20"/>
                <w:szCs w:val="20"/>
                <w:color w:val="auto"/>
              </w:rPr>
            </w:pPr>
            <w:r>
              <w:rPr>
                <w:rFonts w:ascii="Courier New" w:cs="Courier New" w:eastAsia="Courier New" w:hAnsi="Courier New"/>
                <w:sz w:val="15"/>
                <w:szCs w:val="15"/>
                <w:color w:val="auto"/>
              </w:rPr>
              <w:t>Jerrold Blair</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524,425</w:t>
            </w:r>
          </w:p>
        </w:tc>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(3)</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6.52%</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c/o World Fuel Services Corporation</w:t>
            </w:r>
          </w:p>
        </w:tc>
        <w:tc>
          <w:tcPr>
            <w:tcW w:w="10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700 South Royal Poinciana Blvd.</w:t>
            </w:r>
          </w:p>
        </w:tc>
        <w:tc>
          <w:tcPr>
            <w:tcW w:w="10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Suite 800</w:t>
            </w:r>
          </w:p>
        </w:tc>
        <w:tc>
          <w:tcPr>
            <w:tcW w:w="10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Miami Springs, FL 33166</w:t>
            </w:r>
          </w:p>
        </w:tc>
        <w:tc>
          <w:tcPr>
            <w:tcW w:w="10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55"/>
        </w:trPr>
        <w:tc>
          <w:tcPr>
            <w:tcW w:w="3320" w:type="dxa"/>
            <w:vAlign w:val="bottom"/>
          </w:tcPr>
          <w:p>
            <w:pPr>
              <w:spacing w:after="0"/>
              <w:rPr>
                <w:sz w:val="20"/>
                <w:szCs w:val="20"/>
                <w:color w:val="auto"/>
              </w:rPr>
            </w:pPr>
            <w:r>
              <w:rPr>
                <w:rFonts w:ascii="Courier New" w:cs="Courier New" w:eastAsia="Courier New" w:hAnsi="Courier New"/>
                <w:sz w:val="15"/>
                <w:szCs w:val="15"/>
                <w:color w:val="auto"/>
              </w:rPr>
              <w:t>Ralph R. Weiser</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120,000</w:t>
            </w:r>
          </w:p>
        </w:tc>
        <w:tc>
          <w:tcPr>
            <w:tcW w:w="1560" w:type="dxa"/>
            <w:vAlign w:val="bottom"/>
          </w:tcPr>
          <w:p>
            <w:pPr>
              <w:spacing w:after="0"/>
              <w:rPr>
                <w:sz w:val="24"/>
                <w:szCs w:val="24"/>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1.49%</w:t>
            </w:r>
          </w:p>
        </w:tc>
      </w:tr>
      <w:tr>
        <w:trPr>
          <w:trHeight w:val="355"/>
        </w:trPr>
        <w:tc>
          <w:tcPr>
            <w:tcW w:w="3320" w:type="dxa"/>
            <w:vAlign w:val="bottom"/>
          </w:tcPr>
          <w:p>
            <w:pPr>
              <w:spacing w:after="0"/>
              <w:rPr>
                <w:sz w:val="20"/>
                <w:szCs w:val="20"/>
                <w:color w:val="auto"/>
              </w:rPr>
            </w:pPr>
            <w:r>
              <w:rPr>
                <w:rFonts w:ascii="Courier New" w:cs="Courier New" w:eastAsia="Courier New" w:hAnsi="Courier New"/>
                <w:sz w:val="15"/>
                <w:szCs w:val="15"/>
                <w:color w:val="auto"/>
              </w:rPr>
              <w:t>Ralph R. Feuerring</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19,500</w:t>
            </w:r>
          </w:p>
        </w:tc>
        <w:tc>
          <w:tcPr>
            <w:tcW w:w="15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(4)</w:t>
            </w:r>
          </w:p>
        </w:tc>
      </w:tr>
      <w:tr>
        <w:trPr>
          <w:trHeight w:val="355"/>
        </w:trPr>
        <w:tc>
          <w:tcPr>
            <w:tcW w:w="3320" w:type="dxa"/>
            <w:vAlign w:val="bottom"/>
          </w:tcPr>
          <w:p>
            <w:pPr>
              <w:spacing w:after="0"/>
              <w:rPr>
                <w:sz w:val="20"/>
                <w:szCs w:val="20"/>
                <w:color w:val="auto"/>
              </w:rPr>
            </w:pPr>
            <w:r>
              <w:rPr>
                <w:rFonts w:ascii="Courier New" w:cs="Courier New" w:eastAsia="Courier New" w:hAnsi="Courier New"/>
                <w:sz w:val="15"/>
                <w:szCs w:val="15"/>
                <w:color w:val="auto"/>
              </w:rPr>
              <w:t>John R. Benbow</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3,900</w:t>
            </w:r>
          </w:p>
        </w:tc>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(4)</w:t>
            </w:r>
          </w:p>
        </w:tc>
      </w:tr>
      <w:tr>
        <w:trPr>
          <w:trHeight w:val="355"/>
        </w:trPr>
        <w:tc>
          <w:tcPr>
            <w:tcW w:w="3320" w:type="dxa"/>
            <w:vAlign w:val="bottom"/>
          </w:tcPr>
          <w:p>
            <w:pPr>
              <w:spacing w:after="0"/>
              <w:rPr>
                <w:sz w:val="20"/>
                <w:szCs w:val="20"/>
                <w:color w:val="auto"/>
              </w:rPr>
            </w:pPr>
            <w:r>
              <w:rPr>
                <w:rFonts w:ascii="Courier New" w:cs="Courier New" w:eastAsia="Courier New" w:hAnsi="Courier New"/>
                <w:sz w:val="15"/>
                <w:szCs w:val="15"/>
                <w:color w:val="auto"/>
              </w:rPr>
              <w:t>Celestin A. Durand, III</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1,875</w:t>
            </w:r>
          </w:p>
        </w:tc>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(4)</w:t>
            </w:r>
          </w:p>
        </w:tc>
      </w:tr>
      <w:tr>
        <w:trPr>
          <w:trHeight w:val="355"/>
        </w:trPr>
        <w:tc>
          <w:tcPr>
            <w:tcW w:w="3320" w:type="dxa"/>
            <w:vAlign w:val="bottom"/>
          </w:tcPr>
          <w:p>
            <w:pPr>
              <w:spacing w:after="0"/>
              <w:rPr>
                <w:sz w:val="20"/>
                <w:szCs w:val="20"/>
                <w:color w:val="auto"/>
              </w:rPr>
            </w:pPr>
            <w:r>
              <w:rPr>
                <w:rFonts w:ascii="Courier New" w:cs="Courier New" w:eastAsia="Courier New" w:hAnsi="Courier New"/>
                <w:sz w:val="15"/>
                <w:szCs w:val="15"/>
                <w:color w:val="auto"/>
              </w:rPr>
              <w:t>Phillip S. Bradley</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spacing w:after="0"/>
              <w:rPr>
                <w:sz w:val="24"/>
                <w:szCs w:val="24"/>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0</w:t>
            </w:r>
          </w:p>
        </w:tc>
      </w:tr>
      <w:tr>
        <w:trPr>
          <w:trHeight w:val="355"/>
        </w:trPr>
        <w:tc>
          <w:tcPr>
            <w:tcW w:w="3320" w:type="dxa"/>
            <w:vAlign w:val="bottom"/>
          </w:tcPr>
          <w:p>
            <w:pPr>
              <w:spacing w:after="0"/>
              <w:rPr>
                <w:sz w:val="20"/>
                <w:szCs w:val="20"/>
                <w:color w:val="auto"/>
              </w:rPr>
            </w:pPr>
            <w:r>
              <w:rPr>
                <w:rFonts w:ascii="Courier New" w:cs="Courier New" w:eastAsia="Courier New" w:hAnsi="Courier New"/>
                <w:sz w:val="15"/>
                <w:szCs w:val="15"/>
                <w:color w:val="auto"/>
              </w:rPr>
              <w:t>Myles Klein</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3,750</w:t>
            </w:r>
          </w:p>
        </w:tc>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(4)</w:t>
            </w:r>
          </w:p>
        </w:tc>
      </w:tr>
      <w:tr>
        <w:trPr>
          <w:trHeight w:val="355"/>
        </w:trPr>
        <w:tc>
          <w:tcPr>
            <w:tcW w:w="3320" w:type="dxa"/>
            <w:vAlign w:val="bottom"/>
          </w:tcPr>
          <w:p>
            <w:pPr>
              <w:spacing w:after="0"/>
              <w:rPr>
                <w:sz w:val="20"/>
                <w:szCs w:val="20"/>
                <w:color w:val="auto"/>
              </w:rPr>
            </w:pPr>
            <w:r>
              <w:rPr>
                <w:rFonts w:ascii="Courier New" w:cs="Courier New" w:eastAsia="Courier New" w:hAnsi="Courier New"/>
                <w:sz w:val="15"/>
                <w:szCs w:val="15"/>
                <w:color w:val="auto"/>
              </w:rPr>
              <w:t>Michael Kasbar</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115,688</w:t>
            </w:r>
          </w:p>
        </w:tc>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(8)</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1.44%</w:t>
            </w:r>
          </w:p>
        </w:tc>
      </w:tr>
      <w:tr>
        <w:trPr>
          <w:trHeight w:val="355"/>
        </w:trPr>
        <w:tc>
          <w:tcPr>
            <w:tcW w:w="3320" w:type="dxa"/>
            <w:vAlign w:val="bottom"/>
          </w:tcPr>
          <w:p>
            <w:pPr>
              <w:spacing w:after="0"/>
              <w:rPr>
                <w:sz w:val="20"/>
                <w:szCs w:val="20"/>
                <w:color w:val="auto"/>
              </w:rPr>
            </w:pPr>
            <w:r>
              <w:rPr>
                <w:rFonts w:ascii="Courier New" w:cs="Courier New" w:eastAsia="Courier New" w:hAnsi="Courier New"/>
                <w:sz w:val="15"/>
                <w:szCs w:val="15"/>
                <w:color w:val="auto"/>
              </w:rPr>
              <w:t>Paul Stebbins</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134,332</w:t>
            </w:r>
          </w:p>
        </w:tc>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(9)</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1.67%</w:t>
            </w:r>
          </w:p>
        </w:tc>
      </w:tr>
      <w:tr>
        <w:trPr>
          <w:trHeight w:val="355"/>
        </w:trPr>
        <w:tc>
          <w:tcPr>
            <w:tcW w:w="3320" w:type="dxa"/>
            <w:vAlign w:val="bottom"/>
          </w:tcPr>
          <w:p>
            <w:pPr>
              <w:spacing w:after="0"/>
              <w:rPr>
                <w:sz w:val="20"/>
                <w:szCs w:val="20"/>
                <w:color w:val="auto"/>
              </w:rPr>
            </w:pPr>
            <w:r>
              <w:rPr>
                <w:rFonts w:ascii="Courier New" w:cs="Courier New" w:eastAsia="Courier New" w:hAnsi="Courier New"/>
                <w:sz w:val="15"/>
                <w:szCs w:val="15"/>
                <w:color w:val="auto"/>
              </w:rPr>
              <w:t>Robert S. Tocci</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13,572</w:t>
            </w:r>
          </w:p>
        </w:tc>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(10)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(4)</w:t>
            </w:r>
          </w:p>
        </w:tc>
      </w:tr>
      <w:tr>
        <w:trPr>
          <w:trHeight w:val="355"/>
        </w:trPr>
        <w:tc>
          <w:tcPr>
            <w:tcW w:w="3320" w:type="dxa"/>
            <w:vAlign w:val="bottom"/>
          </w:tcPr>
          <w:p>
            <w:pPr>
              <w:spacing w:after="0"/>
              <w:rPr>
                <w:sz w:val="20"/>
                <w:szCs w:val="20"/>
                <w:color w:val="auto"/>
              </w:rPr>
            </w:pPr>
            <w:r>
              <w:rPr>
                <w:rFonts w:ascii="Courier New" w:cs="Courier New" w:eastAsia="Courier New" w:hAnsi="Courier New"/>
                <w:sz w:val="15"/>
                <w:szCs w:val="15"/>
                <w:color w:val="auto"/>
              </w:rPr>
              <w:t>All Executive Officers</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948,293</w:t>
            </w:r>
          </w:p>
        </w:tc>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(11)</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11.79%</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and Nominees for Director</w:t>
            </w:r>
          </w:p>
        </w:tc>
        <w:tc>
          <w:tcPr>
            <w:tcW w:w="10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as a Group (12 persons)</w:t>
            </w:r>
          </w:p>
        </w:tc>
        <w:tc>
          <w:tcPr>
            <w:tcW w:w="10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00" w:type="dxa"/>
            <w:vAlign w:val="bottom"/>
          </w:tcPr>
          <w:p>
            <w:pPr>
              <w:spacing w:after="0"/>
              <w:rPr>
                <w:sz w:val="15"/>
                <w:szCs w:val="15"/>
                <w:color w:val="auto"/>
              </w:rPr>
            </w:pP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545" w:hanging="545"/>
        <w:spacing w:after="0"/>
        <w:tabs>
          <w:tab w:leader="none" w:pos="54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disclosed, as of February 12, 1996, in a Schedule</w:t>
      </w:r>
    </w:p>
    <w:p>
      <w:pPr>
        <w:spacing w:after="0" w:line="7" w:lineRule="exact"/>
        <w:rPr>
          <w:rFonts w:ascii="Courier New" w:cs="Courier New" w:eastAsia="Courier New" w:hAnsi="Courier New"/>
          <w:sz w:val="15"/>
          <w:szCs w:val="15"/>
          <w:color w:val="auto"/>
        </w:rPr>
      </w:pPr>
    </w:p>
    <w:p>
      <w:pPr>
        <w:ind w:left="54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13G filed with the Securities and Exchange Commission. David L. Babson &amp; Co., Inc. ("Babson"), its subsidiaries and companies under their control, have sole voting power with respect to 352,150 shares and sole dispositive power with respect to 500,550 shares. Babson shares voting power with respect to 148,400 shares and shares dispositive power with respect to 0 shares.</w:t>
      </w:r>
    </w:p>
    <w:p>
      <w:pPr>
        <w:spacing w:after="0" w:line="175" w:lineRule="exact"/>
        <w:rPr>
          <w:rFonts w:ascii="Courier New" w:cs="Courier New" w:eastAsia="Courier New" w:hAnsi="Courier New"/>
          <w:sz w:val="15"/>
          <w:szCs w:val="15"/>
          <w:color w:val="auto"/>
        </w:rPr>
      </w:pPr>
    </w:p>
    <w:p>
      <w:pPr>
        <w:ind w:left="545" w:right="2939" w:hanging="545"/>
        <w:spacing w:after="0" w:line="250" w:lineRule="auto"/>
        <w:tabs>
          <w:tab w:leader="none" w:pos="54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disclosed, as of May 9, 1996, in a Schedule 13G filed with the Securities and Exchange Commission. FMR Corp. ("FMR"), its subsidiaries and affiliates, have sole dispositive power with respect to 809,346 shares. FMR does not have sole power to vote or direct the vote</w:t>
      </w:r>
    </w:p>
    <w:p>
      <w:pPr>
        <w:spacing w:after="0" w:line="2" w:lineRule="exact"/>
        <w:rPr>
          <w:sz w:val="20"/>
          <w:szCs w:val="20"/>
          <w:color w:val="auto"/>
        </w:rPr>
      </w:pPr>
    </w:p>
    <w:p>
      <w:pPr>
        <w:ind w:left="545" w:right="2939"/>
        <w:spacing w:after="0" w:line="250" w:lineRule="auto"/>
        <w:rPr>
          <w:sz w:val="20"/>
          <w:szCs w:val="20"/>
          <w:color w:val="auto"/>
        </w:rPr>
      </w:pPr>
      <w:r>
        <w:rPr>
          <w:rFonts w:ascii="Courier New" w:cs="Courier New" w:eastAsia="Courier New" w:hAnsi="Courier New"/>
          <w:sz w:val="15"/>
          <w:szCs w:val="15"/>
          <w:color w:val="auto"/>
        </w:rPr>
        <w:t>with respect to any shares. Fidelity Low-Priced Stock Fund, an investment company registered under the Investment Company Act of 1940 and</w:t>
      </w:r>
    </w:p>
    <w:p>
      <w:pPr>
        <w:spacing w:after="0" w:line="1"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5"/>
          </w:cols>
          <w:pgMar w:left="235" w:top="828" w:right="1440" w:bottom="1440" w:gutter="0" w:footer="0" w:header="0"/>
        </w:sectPr>
      </w:pPr>
    </w:p>
    <w:bookmarkStart w:id="10" w:name="page11"/>
    <w:bookmarkEnd w:id="10"/>
    <w:p>
      <w:pPr>
        <w:ind w:left="545" w:right="3019"/>
        <w:spacing w:after="0" w:line="252" w:lineRule="auto"/>
        <w:rPr>
          <w:sz w:val="20"/>
          <w:szCs w:val="20"/>
          <w:color w:val="auto"/>
        </w:rPr>
      </w:pPr>
      <w:r>
        <w:rPr>
          <w:rFonts w:ascii="Courier New" w:cs="Courier New" w:eastAsia="Courier New" w:hAnsi="Courier New"/>
          <w:sz w:val="15"/>
          <w:szCs w:val="15"/>
          <w:color w:val="auto"/>
        </w:rPr>
        <w:t>affiliated with FMR, owned 803,804 of the shares. The remaining 5,542 shares are held in institutional accounts managed by Fidelity Management Trust Company, a subsidiary of FMR.</w:t>
      </w:r>
    </w:p>
    <w:p>
      <w:pPr>
        <w:spacing w:after="0" w:line="175" w:lineRule="exact"/>
        <w:rPr>
          <w:sz w:val="20"/>
          <w:szCs w:val="20"/>
          <w:color w:val="auto"/>
        </w:rPr>
      </w:pPr>
    </w:p>
    <w:p>
      <w:pPr>
        <w:ind w:left="545" w:right="3019" w:hanging="545"/>
        <w:spacing w:after="0" w:line="253" w:lineRule="auto"/>
        <w:tabs>
          <w:tab w:leader="none" w:pos="54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5,625 shares owned solely by Mr. Blair's wife, and 4,500 shares owned solely by his children.</w:t>
      </w:r>
    </w:p>
    <w:p>
      <w:pPr>
        <w:spacing w:after="0" w:line="174" w:lineRule="exact"/>
        <w:rPr>
          <w:rFonts w:ascii="Courier New" w:cs="Courier New" w:eastAsia="Courier New" w:hAnsi="Courier New"/>
          <w:sz w:val="15"/>
          <w:szCs w:val="15"/>
          <w:color w:val="auto"/>
        </w:rPr>
      </w:pPr>
    </w:p>
    <w:p>
      <w:pPr>
        <w:ind w:left="545" w:hanging="545"/>
        <w:spacing w:after="0"/>
        <w:tabs>
          <w:tab w:leader="none" w:pos="54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ownership of less than 1% of the outstanding Common Stock.</w:t>
      </w:r>
    </w:p>
    <w:p>
      <w:pPr>
        <w:spacing w:after="0" w:line="184" w:lineRule="exact"/>
        <w:rPr>
          <w:rFonts w:ascii="Courier New" w:cs="Courier New" w:eastAsia="Courier New" w:hAnsi="Courier New"/>
          <w:sz w:val="15"/>
          <w:szCs w:val="15"/>
          <w:color w:val="auto"/>
        </w:rPr>
      </w:pPr>
    </w:p>
    <w:p>
      <w:pPr>
        <w:ind w:left="545" w:right="2939" w:hanging="545"/>
        <w:spacing w:after="0" w:line="253" w:lineRule="auto"/>
        <w:tabs>
          <w:tab w:leader="none" w:pos="54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3,750 shares which may be purchased by Mr. Benbow pursuant to an option which is currently exercisable.</w:t>
      </w:r>
    </w:p>
    <w:p>
      <w:pPr>
        <w:spacing w:after="0" w:line="174" w:lineRule="exact"/>
        <w:rPr>
          <w:rFonts w:ascii="Courier New" w:cs="Courier New" w:eastAsia="Courier New" w:hAnsi="Courier New"/>
          <w:sz w:val="15"/>
          <w:szCs w:val="15"/>
          <w:color w:val="auto"/>
        </w:rPr>
      </w:pPr>
    </w:p>
    <w:p>
      <w:pPr>
        <w:ind w:left="545" w:right="2939" w:hanging="545"/>
        <w:spacing w:after="0" w:line="253" w:lineRule="auto"/>
        <w:tabs>
          <w:tab w:leader="none" w:pos="54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1,875 shares which may be purchased by Mr. Durand pursuant to an option which is currently exercisable.</w:t>
      </w:r>
    </w:p>
    <w:p>
      <w:pPr>
        <w:spacing w:after="0" w:line="174" w:lineRule="exact"/>
        <w:rPr>
          <w:rFonts w:ascii="Courier New" w:cs="Courier New" w:eastAsia="Courier New" w:hAnsi="Courier New"/>
          <w:sz w:val="15"/>
          <w:szCs w:val="15"/>
          <w:color w:val="auto"/>
        </w:rPr>
      </w:pPr>
    </w:p>
    <w:p>
      <w:pPr>
        <w:ind w:left="545" w:right="3019" w:hanging="545"/>
        <w:spacing w:after="0" w:line="253" w:lineRule="auto"/>
        <w:tabs>
          <w:tab w:leader="none" w:pos="54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3,750 shares which may be purchased by Mr. Klein pursuant to an option which is currently exercisable.</w:t>
      </w:r>
    </w:p>
    <w:p>
      <w:pPr>
        <w:spacing w:after="0" w:line="174" w:lineRule="exact"/>
        <w:rPr>
          <w:rFonts w:ascii="Courier New" w:cs="Courier New" w:eastAsia="Courier New" w:hAnsi="Courier New"/>
          <w:sz w:val="15"/>
          <w:szCs w:val="15"/>
          <w:color w:val="auto"/>
        </w:rPr>
      </w:pPr>
    </w:p>
    <w:p>
      <w:pPr>
        <w:ind w:left="545" w:right="2939" w:hanging="545"/>
        <w:spacing w:after="0" w:line="253" w:lineRule="auto"/>
        <w:tabs>
          <w:tab w:leader="none" w:pos="54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9,676 shares which may be purchased by Mr. Kasbar pursuant to an option which is currently exercisable.</w:t>
      </w:r>
    </w:p>
    <w:p>
      <w:pPr>
        <w:spacing w:after="0" w:line="174" w:lineRule="exact"/>
        <w:rPr>
          <w:rFonts w:ascii="Courier New" w:cs="Courier New" w:eastAsia="Courier New" w:hAnsi="Courier New"/>
          <w:sz w:val="15"/>
          <w:szCs w:val="15"/>
          <w:color w:val="auto"/>
        </w:rPr>
      </w:pPr>
    </w:p>
    <w:p>
      <w:pPr>
        <w:ind w:left="545" w:right="3019" w:hanging="545"/>
        <w:spacing w:after="0" w:line="253" w:lineRule="auto"/>
        <w:tabs>
          <w:tab w:leader="none" w:pos="54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9,676 shares which may be purchased by Mr. Stebbins pursuant to an option which is currently exercisable.</w:t>
      </w:r>
    </w:p>
    <w:p>
      <w:pPr>
        <w:spacing w:after="0" w:line="174" w:lineRule="exact"/>
        <w:rPr>
          <w:rFonts w:ascii="Courier New" w:cs="Courier New" w:eastAsia="Courier New" w:hAnsi="Courier New"/>
          <w:sz w:val="15"/>
          <w:szCs w:val="15"/>
          <w:color w:val="auto"/>
        </w:rPr>
      </w:pPr>
    </w:p>
    <w:p>
      <w:pPr>
        <w:ind w:left="545" w:right="2939" w:hanging="545"/>
        <w:spacing w:after="0" w:line="253" w:lineRule="auto"/>
        <w:tabs>
          <w:tab w:leader="none" w:pos="54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13,572 shares which may be purchased by Mr. Tocci pursuant to an option which is currently exercisable.</w:t>
      </w:r>
    </w:p>
    <w:p>
      <w:pPr>
        <w:spacing w:after="0" w:line="174" w:lineRule="exact"/>
        <w:rPr>
          <w:rFonts w:ascii="Courier New" w:cs="Courier New" w:eastAsia="Courier New" w:hAnsi="Courier New"/>
          <w:sz w:val="15"/>
          <w:szCs w:val="15"/>
          <w:color w:val="auto"/>
        </w:rPr>
      </w:pPr>
    </w:p>
    <w:p>
      <w:pPr>
        <w:ind w:left="545" w:right="3019" w:hanging="545"/>
        <w:spacing w:after="0" w:line="251" w:lineRule="auto"/>
        <w:tabs>
          <w:tab w:leader="none" w:pos="54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49,800 shares which may be purchased by executive officers and Directors of the Company pursuant to options granted by the Company from January 15, 1993 through May 10, 1995. These options are currently exercisable.</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5"/>
          </w:cols>
          <w:pgMar w:left="235" w:top="650" w:right="1440" w:bottom="1440" w:gutter="0" w:footer="0" w:header="0"/>
        </w:sectPr>
      </w:pPr>
    </w:p>
    <w:bookmarkStart w:id="11" w:name="page12"/>
    <w:bookmarkEnd w:id="11"/>
    <w:p>
      <w:pPr>
        <w:ind w:left="1840"/>
        <w:spacing w:after="0"/>
        <w:rPr>
          <w:sz w:val="20"/>
          <w:szCs w:val="20"/>
          <w:color w:val="auto"/>
        </w:rPr>
      </w:pPr>
      <w:r>
        <w:rPr>
          <w:rFonts w:ascii="Courier New" w:cs="Courier New" w:eastAsia="Courier New" w:hAnsi="Courier New"/>
          <w:sz w:val="15"/>
          <w:szCs w:val="15"/>
          <w:color w:val="auto"/>
        </w:rPr>
        <w:t>INFORMATION CONCERNING EXECUTIVE OFFICERS</w:t>
      </w:r>
    </w:p>
    <w:p>
      <w:pPr>
        <w:spacing w:after="0" w:line="185" w:lineRule="exact"/>
        <w:rPr>
          <w:sz w:val="20"/>
          <w:szCs w:val="20"/>
          <w:color w:val="auto"/>
        </w:rPr>
      </w:pPr>
    </w:p>
    <w:p>
      <w:pPr>
        <w:jc w:val="both"/>
        <w:ind w:right="2939" w:firstLine="1200"/>
        <w:spacing w:after="0" w:line="250" w:lineRule="auto"/>
        <w:rPr>
          <w:sz w:val="20"/>
          <w:szCs w:val="20"/>
          <w:color w:val="auto"/>
        </w:rPr>
      </w:pPr>
      <w:r>
        <w:rPr>
          <w:rFonts w:ascii="Courier New" w:cs="Courier New" w:eastAsia="Courier New" w:hAnsi="Courier New"/>
          <w:sz w:val="15"/>
          <w:szCs w:val="15"/>
          <w:color w:val="auto"/>
        </w:rPr>
        <w:t>The following table sets forth certain information with respect to the executive officers of the Company and its principal subsidiaries. A summary of the background and experience of each executive officer, other than Mr.</w:t>
      </w:r>
    </w:p>
    <w:p>
      <w:pPr>
        <w:spacing w:after="0" w:line="1"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Weiser, Mr. Blair, Mr. Bradley, Mr. Kasbar, and Mr. Stebbins is set forth in the paragraphs following the table. The background and experience of Mr. Weiser, Mr. Blair, Mr. Bradley, Mr. Kasbar and Mr. Stebbins are described in the section captioned "Election of Directors." All executive officers serve at the discretion of the Board of Directors.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NAME AND POSITION</w:t>
            </w:r>
          </w:p>
        </w:tc>
        <w:tc>
          <w:tcPr>
            <w:tcW w:w="208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AGE AT</w:t>
            </w:r>
          </w:p>
        </w:tc>
        <w:tc>
          <w:tcPr>
            <w:tcW w:w="20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YEAR FIRST BECAME</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WITH THE COMPANY</w:t>
            </w:r>
          </w:p>
        </w:tc>
        <w:tc>
          <w:tcPr>
            <w:tcW w:w="20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MARCH 31, 1996</w:t>
            </w:r>
          </w:p>
        </w:tc>
        <w:tc>
          <w:tcPr>
            <w:tcW w:w="20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EXECUTIVE OFFICER</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0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Ralph R. Weiser,</w:t>
            </w:r>
          </w:p>
        </w:tc>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Chairman of the Board</w:t>
            </w:r>
          </w:p>
        </w:tc>
        <w:tc>
          <w:tcPr>
            <w:tcW w:w="2080" w:type="dxa"/>
            <w:vAlign w:val="bottom"/>
          </w:tcPr>
          <w:p>
            <w:pPr>
              <w:jc w:val="right"/>
              <w:ind w:right="1083"/>
              <w:spacing w:after="0"/>
              <w:rPr>
                <w:sz w:val="20"/>
                <w:szCs w:val="20"/>
                <w:color w:val="auto"/>
              </w:rPr>
            </w:pPr>
            <w:r>
              <w:rPr>
                <w:rFonts w:ascii="Courier New" w:cs="Courier New" w:eastAsia="Courier New" w:hAnsi="Courier New"/>
                <w:sz w:val="15"/>
                <w:szCs w:val="15"/>
                <w:color w:val="auto"/>
              </w:rPr>
              <w:t>70</w:t>
            </w:r>
          </w:p>
        </w:tc>
        <w:tc>
          <w:tcPr>
            <w:tcW w:w="2080" w:type="dxa"/>
            <w:vAlign w:val="bottom"/>
          </w:tcPr>
          <w:p>
            <w:pPr>
              <w:jc w:val="right"/>
              <w:ind w:right="863"/>
              <w:spacing w:after="0"/>
              <w:rPr>
                <w:sz w:val="20"/>
                <w:szCs w:val="20"/>
                <w:color w:val="auto"/>
              </w:rPr>
            </w:pPr>
            <w:r>
              <w:rPr>
                <w:rFonts w:ascii="Courier New" w:cs="Courier New" w:eastAsia="Courier New" w:hAnsi="Courier New"/>
                <w:sz w:val="15"/>
                <w:szCs w:val="15"/>
                <w:color w:val="auto"/>
              </w:rPr>
              <w:t>1984</w:t>
            </w: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Jerrold Blair, President</w:t>
            </w:r>
          </w:p>
        </w:tc>
        <w:tc>
          <w:tcPr>
            <w:tcW w:w="2080" w:type="dxa"/>
            <w:vAlign w:val="bottom"/>
          </w:tcPr>
          <w:p>
            <w:pPr>
              <w:jc w:val="right"/>
              <w:ind w:right="1083"/>
              <w:spacing w:after="0"/>
              <w:rPr>
                <w:sz w:val="20"/>
                <w:szCs w:val="20"/>
                <w:color w:val="auto"/>
              </w:rPr>
            </w:pPr>
            <w:r>
              <w:rPr>
                <w:rFonts w:ascii="Courier New" w:cs="Courier New" w:eastAsia="Courier New" w:hAnsi="Courier New"/>
                <w:sz w:val="15"/>
                <w:szCs w:val="15"/>
                <w:color w:val="auto"/>
              </w:rPr>
              <w:t>58</w:t>
            </w:r>
          </w:p>
        </w:tc>
        <w:tc>
          <w:tcPr>
            <w:tcW w:w="2080" w:type="dxa"/>
            <w:vAlign w:val="bottom"/>
          </w:tcPr>
          <w:p>
            <w:pPr>
              <w:jc w:val="right"/>
              <w:ind w:right="863"/>
              <w:spacing w:after="0"/>
              <w:rPr>
                <w:sz w:val="20"/>
                <w:szCs w:val="20"/>
                <w:color w:val="auto"/>
              </w:rPr>
            </w:pPr>
            <w:r>
              <w:rPr>
                <w:rFonts w:ascii="Courier New" w:cs="Courier New" w:eastAsia="Courier New" w:hAnsi="Courier New"/>
                <w:sz w:val="15"/>
                <w:szCs w:val="15"/>
                <w:color w:val="auto"/>
              </w:rPr>
              <w:t>1985</w:t>
            </w: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Phillip S. Bradley,</w:t>
            </w:r>
          </w:p>
        </w:tc>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President of Advance</w:t>
            </w:r>
          </w:p>
        </w:tc>
        <w:tc>
          <w:tcPr>
            <w:tcW w:w="2080" w:type="dxa"/>
            <w:vAlign w:val="bottom"/>
          </w:tcPr>
          <w:p>
            <w:pPr>
              <w:jc w:val="right"/>
              <w:ind w:right="1083"/>
              <w:spacing w:after="0"/>
              <w:rPr>
                <w:sz w:val="20"/>
                <w:szCs w:val="20"/>
                <w:color w:val="auto"/>
              </w:rPr>
            </w:pPr>
            <w:r>
              <w:rPr>
                <w:rFonts w:ascii="Courier New" w:cs="Courier New" w:eastAsia="Courier New" w:hAnsi="Courier New"/>
                <w:sz w:val="15"/>
                <w:szCs w:val="15"/>
                <w:color w:val="auto"/>
              </w:rPr>
              <w:t>57</w:t>
            </w:r>
          </w:p>
        </w:tc>
        <w:tc>
          <w:tcPr>
            <w:tcW w:w="2080" w:type="dxa"/>
            <w:vAlign w:val="bottom"/>
          </w:tcPr>
          <w:p>
            <w:pPr>
              <w:jc w:val="right"/>
              <w:ind w:right="863"/>
              <w:spacing w:after="0"/>
              <w:rPr>
                <w:sz w:val="20"/>
                <w:szCs w:val="20"/>
                <w:color w:val="auto"/>
              </w:rPr>
            </w:pPr>
            <w:r>
              <w:rPr>
                <w:rFonts w:ascii="Courier New" w:cs="Courier New" w:eastAsia="Courier New" w:hAnsi="Courier New"/>
                <w:sz w:val="15"/>
                <w:szCs w:val="15"/>
                <w:color w:val="auto"/>
              </w:rPr>
              <w:t>1986</w:t>
            </w: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Robert S. Tocci</w:t>
            </w:r>
          </w:p>
        </w:tc>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c>
          <w:tcPr>
            <w:tcW w:w="2080" w:type="dxa"/>
            <w:vAlign w:val="bottom"/>
          </w:tcPr>
          <w:p>
            <w:pPr>
              <w:jc w:val="right"/>
              <w:ind w:right="1083"/>
              <w:spacing w:after="0"/>
              <w:rPr>
                <w:sz w:val="20"/>
                <w:szCs w:val="20"/>
                <w:color w:val="auto"/>
              </w:rPr>
            </w:pPr>
            <w:r>
              <w:rPr>
                <w:rFonts w:ascii="Courier New" w:cs="Courier New" w:eastAsia="Courier New" w:hAnsi="Courier New"/>
                <w:sz w:val="15"/>
                <w:szCs w:val="15"/>
                <w:color w:val="auto"/>
              </w:rPr>
              <w:t>42</w:t>
            </w:r>
          </w:p>
        </w:tc>
        <w:tc>
          <w:tcPr>
            <w:tcW w:w="2080" w:type="dxa"/>
            <w:vAlign w:val="bottom"/>
          </w:tcPr>
          <w:p>
            <w:pPr>
              <w:jc w:val="right"/>
              <w:ind w:right="863"/>
              <w:spacing w:after="0"/>
              <w:rPr>
                <w:sz w:val="20"/>
                <w:szCs w:val="20"/>
                <w:color w:val="auto"/>
              </w:rPr>
            </w:pPr>
            <w:r>
              <w:rPr>
                <w:rFonts w:ascii="Courier New" w:cs="Courier New" w:eastAsia="Courier New" w:hAnsi="Courier New"/>
                <w:sz w:val="15"/>
                <w:szCs w:val="15"/>
                <w:color w:val="auto"/>
              </w:rPr>
              <w:t>1988</w:t>
            </w: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Carlos A. Abaunza,</w:t>
            </w:r>
          </w:p>
        </w:tc>
        <w:tc>
          <w:tcPr>
            <w:tcW w:w="2080" w:type="dxa"/>
            <w:vAlign w:val="bottom"/>
          </w:tcPr>
          <w:p>
            <w:pPr>
              <w:jc w:val="right"/>
              <w:ind w:right="1083"/>
              <w:spacing w:after="0"/>
              <w:rPr>
                <w:sz w:val="20"/>
                <w:szCs w:val="20"/>
                <w:color w:val="auto"/>
              </w:rPr>
            </w:pPr>
            <w:r>
              <w:rPr>
                <w:rFonts w:ascii="Courier New" w:cs="Courier New" w:eastAsia="Courier New" w:hAnsi="Courier New"/>
                <w:sz w:val="15"/>
                <w:szCs w:val="15"/>
                <w:color w:val="auto"/>
              </w:rPr>
              <w:t>36</w:t>
            </w:r>
          </w:p>
        </w:tc>
        <w:tc>
          <w:tcPr>
            <w:tcW w:w="2080" w:type="dxa"/>
            <w:vAlign w:val="bottom"/>
          </w:tcPr>
          <w:p>
            <w:pPr>
              <w:jc w:val="right"/>
              <w:ind w:right="863"/>
              <w:spacing w:after="0"/>
              <w:rPr>
                <w:sz w:val="20"/>
                <w:szCs w:val="20"/>
                <w:color w:val="auto"/>
              </w:rPr>
            </w:pPr>
            <w:r>
              <w:rPr>
                <w:rFonts w:ascii="Courier New" w:cs="Courier New" w:eastAsia="Courier New" w:hAnsi="Courier New"/>
                <w:sz w:val="15"/>
                <w:szCs w:val="15"/>
                <w:color w:val="auto"/>
              </w:rPr>
              <w:t>1989</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Chief Financial Officer and</w:t>
            </w:r>
          </w:p>
        </w:tc>
        <w:tc>
          <w:tcPr>
            <w:tcW w:w="208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Treasurer</w:t>
            </w:r>
          </w:p>
        </w:tc>
        <w:tc>
          <w:tcPr>
            <w:tcW w:w="208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Raymond A. Rossman,</w:t>
            </w:r>
          </w:p>
        </w:tc>
        <w:tc>
          <w:tcPr>
            <w:tcW w:w="2080" w:type="dxa"/>
            <w:vAlign w:val="bottom"/>
          </w:tcPr>
          <w:p>
            <w:pPr>
              <w:jc w:val="right"/>
              <w:ind w:right="1083"/>
              <w:spacing w:after="0"/>
              <w:rPr>
                <w:sz w:val="20"/>
                <w:szCs w:val="20"/>
                <w:color w:val="auto"/>
              </w:rPr>
            </w:pPr>
            <w:r>
              <w:rPr>
                <w:rFonts w:ascii="Courier New" w:cs="Courier New" w:eastAsia="Courier New" w:hAnsi="Courier New"/>
                <w:sz w:val="15"/>
                <w:szCs w:val="15"/>
                <w:color w:val="auto"/>
              </w:rPr>
              <w:t>56</w:t>
            </w:r>
          </w:p>
        </w:tc>
        <w:tc>
          <w:tcPr>
            <w:tcW w:w="2080" w:type="dxa"/>
            <w:vAlign w:val="bottom"/>
          </w:tcPr>
          <w:p>
            <w:pPr>
              <w:jc w:val="right"/>
              <w:ind w:right="863"/>
              <w:spacing w:after="0"/>
              <w:rPr>
                <w:sz w:val="20"/>
                <w:szCs w:val="20"/>
                <w:color w:val="auto"/>
              </w:rPr>
            </w:pPr>
            <w:r>
              <w:rPr>
                <w:rFonts w:ascii="Courier New" w:cs="Courier New" w:eastAsia="Courier New" w:hAnsi="Courier New"/>
                <w:sz w:val="15"/>
                <w:szCs w:val="15"/>
                <w:color w:val="auto"/>
              </w:rPr>
              <w:t>1991</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President of</w:t>
            </w:r>
          </w:p>
        </w:tc>
        <w:tc>
          <w:tcPr>
            <w:tcW w:w="208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World Fuel Services, Inc.</w:t>
            </w:r>
          </w:p>
        </w:tc>
        <w:tc>
          <w:tcPr>
            <w:tcW w:w="208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Michael J. Kasbar, Senior</w:t>
            </w:r>
          </w:p>
        </w:tc>
        <w:tc>
          <w:tcPr>
            <w:tcW w:w="2080" w:type="dxa"/>
            <w:vAlign w:val="bottom"/>
          </w:tcPr>
          <w:p>
            <w:pPr>
              <w:jc w:val="right"/>
              <w:ind w:right="1083"/>
              <w:spacing w:after="0"/>
              <w:rPr>
                <w:sz w:val="20"/>
                <w:szCs w:val="20"/>
                <w:color w:val="auto"/>
              </w:rPr>
            </w:pPr>
            <w:r>
              <w:rPr>
                <w:rFonts w:ascii="Courier New" w:cs="Courier New" w:eastAsia="Courier New" w:hAnsi="Courier New"/>
                <w:sz w:val="15"/>
                <w:szCs w:val="15"/>
                <w:color w:val="auto"/>
              </w:rPr>
              <w:t>39</w:t>
            </w:r>
          </w:p>
        </w:tc>
        <w:tc>
          <w:tcPr>
            <w:tcW w:w="2080" w:type="dxa"/>
            <w:vAlign w:val="bottom"/>
          </w:tcPr>
          <w:p>
            <w:pPr>
              <w:jc w:val="right"/>
              <w:ind w:right="863"/>
              <w:spacing w:after="0"/>
              <w:rPr>
                <w:sz w:val="20"/>
                <w:szCs w:val="20"/>
                <w:color w:val="auto"/>
              </w:rPr>
            </w:pPr>
            <w:r>
              <w:rPr>
                <w:rFonts w:ascii="Courier New" w:cs="Courier New" w:eastAsia="Courier New" w:hAnsi="Courier New"/>
                <w:sz w:val="15"/>
                <w:szCs w:val="15"/>
                <w:color w:val="auto"/>
              </w:rPr>
              <w:t>1995</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Vice President of the</w:t>
            </w:r>
          </w:p>
        </w:tc>
        <w:tc>
          <w:tcPr>
            <w:tcW w:w="208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Company, and Chief Executive</w:t>
            </w:r>
          </w:p>
        </w:tc>
        <w:tc>
          <w:tcPr>
            <w:tcW w:w="208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Officer of Trans-Tec</w:t>
            </w:r>
          </w:p>
        </w:tc>
        <w:tc>
          <w:tcPr>
            <w:tcW w:w="208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Services, Inc.</w:t>
            </w:r>
          </w:p>
        </w:tc>
        <w:tc>
          <w:tcPr>
            <w:tcW w:w="208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Paul K. Stebbins, Senior</w:t>
            </w:r>
          </w:p>
        </w:tc>
        <w:tc>
          <w:tcPr>
            <w:tcW w:w="2080" w:type="dxa"/>
            <w:vAlign w:val="bottom"/>
          </w:tcPr>
          <w:p>
            <w:pPr>
              <w:jc w:val="right"/>
              <w:ind w:right="1083"/>
              <w:spacing w:after="0"/>
              <w:rPr>
                <w:sz w:val="20"/>
                <w:szCs w:val="20"/>
                <w:color w:val="auto"/>
              </w:rPr>
            </w:pPr>
            <w:r>
              <w:rPr>
                <w:rFonts w:ascii="Courier New" w:cs="Courier New" w:eastAsia="Courier New" w:hAnsi="Courier New"/>
                <w:sz w:val="15"/>
                <w:szCs w:val="15"/>
                <w:color w:val="auto"/>
              </w:rPr>
              <w:t>39</w:t>
            </w:r>
          </w:p>
        </w:tc>
        <w:tc>
          <w:tcPr>
            <w:tcW w:w="2080" w:type="dxa"/>
            <w:vAlign w:val="bottom"/>
          </w:tcPr>
          <w:p>
            <w:pPr>
              <w:jc w:val="right"/>
              <w:ind w:right="863"/>
              <w:spacing w:after="0"/>
              <w:rPr>
                <w:sz w:val="20"/>
                <w:szCs w:val="20"/>
                <w:color w:val="auto"/>
              </w:rPr>
            </w:pPr>
            <w:r>
              <w:rPr>
                <w:rFonts w:ascii="Courier New" w:cs="Courier New" w:eastAsia="Courier New" w:hAnsi="Courier New"/>
                <w:sz w:val="15"/>
                <w:szCs w:val="15"/>
                <w:color w:val="auto"/>
              </w:rPr>
              <w:t>1995</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Vice President of the Company,</w:t>
            </w:r>
          </w:p>
        </w:tc>
        <w:tc>
          <w:tcPr>
            <w:tcW w:w="208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and Chief Operating Officer</w:t>
            </w:r>
          </w:p>
        </w:tc>
        <w:tc>
          <w:tcPr>
            <w:tcW w:w="208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of Trans-Tec Services, Inc.</w:t>
            </w:r>
          </w:p>
        </w:tc>
        <w:tc>
          <w:tcPr>
            <w:tcW w:w="2080" w:type="dxa"/>
            <w:vAlign w:val="bottom"/>
          </w:tcPr>
          <w:p>
            <w:pPr>
              <w:spacing w:after="0"/>
              <w:rPr>
                <w:sz w:val="15"/>
                <w:szCs w:val="15"/>
                <w:color w:val="auto"/>
              </w:rPr>
            </w:pPr>
          </w:p>
        </w:tc>
        <w:tc>
          <w:tcPr>
            <w:tcW w:w="2080" w:type="dxa"/>
            <w:vAlign w:val="bottom"/>
          </w:tcPr>
          <w:p>
            <w:pPr>
              <w:spacing w:after="0"/>
              <w:rPr>
                <w:sz w:val="15"/>
                <w:szCs w:val="15"/>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ROBERT S. TOCCI has served as Executive Vice President since April 1995 and as Senior Vice President and Chief Financial Officer of the Company from April 1988 through April 1995. From November 1988 through May 1989, he also served as Treasurer of the Company.</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828" w:right="1440" w:bottom="1440" w:gutter="0" w:footer="0" w:header="0"/>
        </w:sectPr>
      </w:pPr>
    </w:p>
    <w:bookmarkStart w:id="12" w:name="page13"/>
    <w:bookmarkEnd w:id="12"/>
    <w:p>
      <w:pPr>
        <w:ind w:left="5" w:right="2839"/>
        <w:spacing w:after="0" w:line="251" w:lineRule="auto"/>
        <w:rPr>
          <w:sz w:val="20"/>
          <w:szCs w:val="20"/>
          <w:color w:val="auto"/>
        </w:rPr>
      </w:pPr>
      <w:r>
        <w:rPr>
          <w:rFonts w:ascii="Courier New" w:cs="Courier New" w:eastAsia="Courier New" w:hAnsi="Courier New"/>
          <w:sz w:val="15"/>
          <w:szCs w:val="15"/>
          <w:color w:val="auto"/>
        </w:rPr>
        <w:t>CARLOS A. ABAUNZA has served as Chief Financial Officer of the Company since April 1995, as Treasurer since June 1989, and as Vice President of Finance since April 1994. From June 1988 through April 1995 he served as Controller of the Company.</w:t>
      </w:r>
    </w:p>
    <w:p>
      <w:pPr>
        <w:spacing w:after="0" w:line="176" w:lineRule="exact"/>
        <w:rPr>
          <w:sz w:val="20"/>
          <w:szCs w:val="20"/>
          <w:color w:val="auto"/>
        </w:rPr>
      </w:pPr>
    </w:p>
    <w:p>
      <w:pPr>
        <w:ind w:left="5" w:right="4039"/>
        <w:spacing w:after="0" w:line="251" w:lineRule="auto"/>
        <w:rPr>
          <w:sz w:val="20"/>
          <w:szCs w:val="20"/>
          <w:color w:val="auto"/>
        </w:rPr>
      </w:pPr>
      <w:r>
        <w:rPr>
          <w:rFonts w:ascii="Courier New" w:cs="Courier New" w:eastAsia="Courier New" w:hAnsi="Courier New"/>
          <w:sz w:val="15"/>
          <w:szCs w:val="15"/>
          <w:color w:val="auto"/>
        </w:rPr>
        <w:t>RAYMOND A. ROSSMAN has served as President of World Fuel Services, Inc., a subsidiary of the Company, since February 1995. He served as Senior Vice President - International Sales and Supply of World Fuel Services, Inc., from December 1991 until February 1995. From 1983 to 1991, Mr. Rossman served as General Manager - Fuel &amp; Energy for Pan American World Airways.</w:t>
      </w:r>
    </w:p>
    <w:p>
      <w:pPr>
        <w:spacing w:after="0" w:line="35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REPORTING REQUIREMENTS FOR DIRECTORS AND EXECUTIVE OFFICERS.</w:t>
      </w:r>
    </w:p>
    <w:p>
      <w:pPr>
        <w:spacing w:after="0" w:line="185" w:lineRule="exact"/>
        <w:rPr>
          <w:sz w:val="20"/>
          <w:szCs w:val="20"/>
          <w:color w:val="auto"/>
        </w:rPr>
      </w:pPr>
    </w:p>
    <w:p>
      <w:pPr>
        <w:ind w:left="5" w:right="2839" w:firstLine="830"/>
        <w:spacing w:after="0" w:line="250" w:lineRule="auto"/>
        <w:rPr>
          <w:sz w:val="20"/>
          <w:szCs w:val="20"/>
          <w:color w:val="auto"/>
        </w:rPr>
      </w:pPr>
      <w:r>
        <w:rPr>
          <w:rFonts w:ascii="Courier New" w:cs="Courier New" w:eastAsia="Courier New" w:hAnsi="Courier New"/>
          <w:sz w:val="15"/>
          <w:szCs w:val="15"/>
          <w:color w:val="auto"/>
        </w:rPr>
        <w:t>Section 16(a) of the Securities Exchange Act of 1934 requires the Company's directors and executive officers, and persons who own more than 10% of the Company's Common Stock, to file with the Securities and Exchange Commission and the New York Stock Exchange, Inc., reports of ownership and changes in ownership of common stock and other equity securities of the Company. The Company believes that, during the fiscal year ended March 31, 1996, all filings required of its officers and directors were made on a timely basis, except that:</w:t>
      </w:r>
    </w:p>
    <w:p>
      <w:pPr>
        <w:spacing w:after="0" w:line="3" w:lineRule="exact"/>
        <w:rPr>
          <w:sz w:val="20"/>
          <w:szCs w:val="20"/>
          <w:color w:val="auto"/>
        </w:rPr>
      </w:pPr>
    </w:p>
    <w:p>
      <w:pPr>
        <w:ind w:left="5" w:right="2839" w:hanging="5"/>
        <w:spacing w:after="0" w:line="251" w:lineRule="auto"/>
        <w:tabs>
          <w:tab w:leader="none" w:pos="37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report, covering one transaction, was filed late by each of Michael Kasbar, Paul Stebbins, and Myles Klein; (ii) two reports, covering two transactions, were filed late by Jerrold Blair; and (iii) Celestin Durand omitted to include a grant of stock options in a required monthly report, but he reported the grant in his annual report at year end.</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5"/>
          </w:cols>
          <w:pgMar w:left="235" w:top="1005" w:right="1440" w:bottom="1440" w:gutter="0" w:footer="0" w:header="0"/>
        </w:sectPr>
      </w:pPr>
    </w:p>
    <w:bookmarkStart w:id="13" w:name="page14"/>
    <w:bookmarkEnd w:id="13"/>
    <w:p>
      <w:pPr>
        <w:ind w:left="2585"/>
        <w:spacing w:after="0"/>
        <w:rPr>
          <w:sz w:val="20"/>
          <w:szCs w:val="20"/>
          <w:color w:val="auto"/>
        </w:rPr>
      </w:pPr>
      <w:r>
        <w:rPr>
          <w:rFonts w:ascii="Courier New" w:cs="Courier New" w:eastAsia="Courier New" w:hAnsi="Courier New"/>
          <w:sz w:val="15"/>
          <w:szCs w:val="15"/>
          <w:color w:val="auto"/>
        </w:rPr>
        <w:t>COMPENSATION OF OFFICERS</w:t>
      </w:r>
    </w:p>
    <w:p>
      <w:pPr>
        <w:spacing w:after="0" w:line="185" w:lineRule="exact"/>
        <w:rPr>
          <w:sz w:val="20"/>
          <w:szCs w:val="20"/>
          <w:color w:val="auto"/>
        </w:rPr>
      </w:pPr>
    </w:p>
    <w:p>
      <w:pPr>
        <w:ind w:left="5" w:right="2939" w:firstLine="830"/>
        <w:spacing w:after="0" w:line="251" w:lineRule="auto"/>
        <w:rPr>
          <w:sz w:val="20"/>
          <w:szCs w:val="20"/>
          <w:color w:val="auto"/>
        </w:rPr>
      </w:pPr>
      <w:r>
        <w:rPr>
          <w:rFonts w:ascii="Courier New" w:cs="Courier New" w:eastAsia="Courier New" w:hAnsi="Courier New"/>
          <w:sz w:val="15"/>
          <w:szCs w:val="15"/>
          <w:color w:val="auto"/>
        </w:rPr>
        <w:t>The following table sets forth the annual and long-term compensation which the Company and its subsidiaries paid to those persons who were, on March 31, 1996, the chief executive officer and the five most highly compensated executive officers of the Company, for services rendered in the fiscal years ended March 31, 1996, March 31, 1995 and March 31, 1994.</w:t>
      </w:r>
    </w:p>
    <w:p>
      <w:pPr>
        <w:spacing w:after="0" w:line="200" w:lineRule="exact"/>
        <w:rPr>
          <w:sz w:val="20"/>
          <w:szCs w:val="20"/>
          <w:color w:val="auto"/>
        </w:rPr>
      </w:pPr>
    </w:p>
    <w:p>
      <w:pPr>
        <w:spacing w:after="0" w:line="331"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440" w:type="dxa"/>
            <w:vAlign w:val="bottom"/>
          </w:tcPr>
          <w:p>
            <w:pPr>
              <w:spacing w:after="0"/>
              <w:rPr>
                <w:sz w:val="20"/>
                <w:szCs w:val="20"/>
                <w:color w:val="auto"/>
              </w:rPr>
            </w:pPr>
            <w:r>
              <w:rPr>
                <w:rFonts w:ascii="Courier New" w:cs="Courier New" w:eastAsia="Courier New" w:hAnsi="Courier New"/>
                <w:sz w:val="15"/>
                <w:szCs w:val="15"/>
                <w:color w:val="auto"/>
              </w:rPr>
              <w:t>SUMMARY COMPENSATION TABLE</w:t>
            </w: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7"/>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2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6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LONG-TERM</w:t>
            </w:r>
          </w:p>
        </w:tc>
        <w:tc>
          <w:tcPr>
            <w:tcW w:w="1580" w:type="dxa"/>
            <w:vAlign w:val="bottom"/>
          </w:tcPr>
          <w:p>
            <w:pPr>
              <w:spacing w:after="0"/>
              <w:rPr>
                <w:sz w:val="15"/>
                <w:szCs w:val="15"/>
                <w:color w:val="auto"/>
              </w:rPr>
            </w:pPr>
          </w:p>
        </w:tc>
      </w:tr>
      <w:tr>
        <w:trPr>
          <w:trHeight w:val="177"/>
        </w:trPr>
        <w:tc>
          <w:tcPr>
            <w:tcW w:w="2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COMPENSATION</w:t>
            </w:r>
          </w:p>
        </w:tc>
        <w:tc>
          <w:tcPr>
            <w:tcW w:w="1580" w:type="dxa"/>
            <w:vAlign w:val="bottom"/>
          </w:tcPr>
          <w:p>
            <w:pPr>
              <w:spacing w:after="0"/>
              <w:rPr>
                <w:sz w:val="15"/>
                <w:szCs w:val="15"/>
                <w:color w:val="auto"/>
              </w:rPr>
            </w:pPr>
          </w:p>
        </w:tc>
      </w:tr>
      <w:tr>
        <w:trPr>
          <w:trHeight w:val="177"/>
        </w:trPr>
        <w:tc>
          <w:tcPr>
            <w:tcW w:w="2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ANNUAL COMPENSATION</w:t>
            </w:r>
          </w:p>
        </w:tc>
        <w:tc>
          <w:tcPr>
            <w:tcW w:w="166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AWARDS</w:t>
            </w:r>
          </w:p>
        </w:tc>
        <w:tc>
          <w:tcPr>
            <w:tcW w:w="1580" w:type="dxa"/>
            <w:vAlign w:val="bottom"/>
          </w:tcPr>
          <w:p>
            <w:pPr>
              <w:spacing w:after="0"/>
              <w:rPr>
                <w:sz w:val="15"/>
                <w:szCs w:val="15"/>
                <w:color w:val="auto"/>
              </w:rPr>
            </w:pPr>
          </w:p>
        </w:tc>
      </w:tr>
      <w:tr>
        <w:trPr>
          <w:trHeight w:val="177"/>
        </w:trPr>
        <w:tc>
          <w:tcPr>
            <w:tcW w:w="2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5"/>
                <w:szCs w:val="15"/>
                <w:color w:val="auto"/>
              </w:rPr>
            </w:pP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NAME AND</w:t>
            </w:r>
          </w:p>
        </w:tc>
        <w:tc>
          <w:tcPr>
            <w:tcW w:w="920" w:type="dxa"/>
            <w:vAlign w:val="bottom"/>
          </w:tcPr>
          <w:p>
            <w:pPr>
              <w:jc w:val="center"/>
              <w:ind w:right="203"/>
              <w:spacing w:after="0"/>
              <w:rPr>
                <w:sz w:val="20"/>
                <w:szCs w:val="20"/>
                <w:color w:val="auto"/>
              </w:rPr>
            </w:pPr>
            <w:r>
              <w:rPr>
                <w:rFonts w:ascii="Courier New" w:cs="Courier New" w:eastAsia="Courier New" w:hAnsi="Courier New"/>
                <w:sz w:val="15"/>
                <w:szCs w:val="15"/>
                <w:color w:val="auto"/>
              </w:rPr>
              <w:t>FISCAL</w:t>
            </w: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ALL OTHER</w:t>
            </w: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PRINCIPAL POSITION</w:t>
            </w:r>
          </w:p>
        </w:tc>
        <w:tc>
          <w:tcPr>
            <w:tcW w:w="920" w:type="dxa"/>
            <w:vAlign w:val="bottom"/>
          </w:tcPr>
          <w:p>
            <w:pPr>
              <w:jc w:val="center"/>
              <w:ind w:right="203"/>
              <w:spacing w:after="0"/>
              <w:rPr>
                <w:sz w:val="20"/>
                <w:szCs w:val="20"/>
                <w:color w:val="auto"/>
              </w:rPr>
            </w:pPr>
            <w:r>
              <w:rPr>
                <w:rFonts w:ascii="Courier New" w:cs="Courier New" w:eastAsia="Courier New" w:hAnsi="Courier New"/>
                <w:sz w:val="15"/>
                <w:szCs w:val="15"/>
                <w:color w:val="auto"/>
                <w:w w:val="99"/>
              </w:rPr>
              <w:t>YEAR</w:t>
            </w: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SALARY</w:t>
            </w: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BONUS</w:t>
            </w:r>
          </w:p>
        </w:tc>
        <w:tc>
          <w:tcPr>
            <w:tcW w:w="166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OPTIONS</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COMPENSATION</w:t>
            </w: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2440" w:type="dxa"/>
            <w:vAlign w:val="bottom"/>
          </w:tcPr>
          <w:p>
            <w:pPr>
              <w:spacing w:after="0"/>
              <w:rPr>
                <w:sz w:val="20"/>
                <w:szCs w:val="20"/>
                <w:color w:val="auto"/>
              </w:rPr>
            </w:pPr>
            <w:r>
              <w:rPr>
                <w:rFonts w:ascii="Courier New" w:cs="Courier New" w:eastAsia="Courier New" w:hAnsi="Courier New"/>
                <w:sz w:val="15"/>
                <w:szCs w:val="15"/>
                <w:color w:val="auto"/>
              </w:rPr>
              <w:t>Ralph R. Weiser,</w:t>
            </w:r>
          </w:p>
        </w:tc>
        <w:tc>
          <w:tcPr>
            <w:tcW w:w="920" w:type="dxa"/>
            <w:vAlign w:val="bottom"/>
          </w:tcPr>
          <w:p>
            <w:pPr>
              <w:jc w:val="center"/>
              <w:ind w:right="203"/>
              <w:spacing w:after="0"/>
              <w:rPr>
                <w:sz w:val="20"/>
                <w:szCs w:val="20"/>
                <w:color w:val="auto"/>
              </w:rPr>
            </w:pPr>
            <w:r>
              <w:rPr>
                <w:rFonts w:ascii="Courier New" w:cs="Courier New" w:eastAsia="Courier New" w:hAnsi="Courier New"/>
                <w:sz w:val="15"/>
                <w:szCs w:val="15"/>
                <w:color w:val="auto"/>
                <w:w w:val="99"/>
              </w:rPr>
              <w:t>1996</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$262,000</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$737,999</w:t>
            </w:r>
          </w:p>
        </w:tc>
        <w:tc>
          <w:tcPr>
            <w:tcW w:w="166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$85,400(1)</w:t>
            </w: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Chairman of the</w:t>
            </w:r>
          </w:p>
        </w:tc>
        <w:tc>
          <w:tcPr>
            <w:tcW w:w="920" w:type="dxa"/>
            <w:vAlign w:val="bottom"/>
          </w:tcPr>
          <w:p>
            <w:pPr>
              <w:jc w:val="center"/>
              <w:ind w:right="203"/>
              <w:spacing w:after="0"/>
              <w:rPr>
                <w:sz w:val="20"/>
                <w:szCs w:val="20"/>
                <w:color w:val="auto"/>
              </w:rPr>
            </w:pPr>
            <w:r>
              <w:rPr>
                <w:rFonts w:ascii="Courier New" w:cs="Courier New" w:eastAsia="Courier New" w:hAnsi="Courier New"/>
                <w:sz w:val="15"/>
                <w:szCs w:val="15"/>
                <w:color w:val="auto"/>
                <w:w w:val="99"/>
              </w:rPr>
              <w:t>1995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250,000</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622,068</w:t>
            </w:r>
          </w:p>
        </w:tc>
        <w:tc>
          <w:tcPr>
            <w:tcW w:w="166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0</w:t>
            </w: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Board of Directors</w:t>
            </w:r>
          </w:p>
        </w:tc>
        <w:tc>
          <w:tcPr>
            <w:tcW w:w="920" w:type="dxa"/>
            <w:vAlign w:val="bottom"/>
          </w:tcPr>
          <w:p>
            <w:pPr>
              <w:jc w:val="center"/>
              <w:ind w:right="203"/>
              <w:spacing w:after="0"/>
              <w:rPr>
                <w:sz w:val="20"/>
                <w:szCs w:val="20"/>
                <w:color w:val="auto"/>
              </w:rPr>
            </w:pPr>
            <w:r>
              <w:rPr>
                <w:rFonts w:ascii="Courier New" w:cs="Courier New" w:eastAsia="Courier New" w:hAnsi="Courier New"/>
                <w:sz w:val="15"/>
                <w:szCs w:val="15"/>
                <w:color w:val="auto"/>
                <w:w w:val="99"/>
              </w:rPr>
              <w:t>1994</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250,000</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357,621</w:t>
            </w:r>
          </w:p>
        </w:tc>
        <w:tc>
          <w:tcPr>
            <w:tcW w:w="166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0</w:t>
            </w:r>
          </w:p>
        </w:tc>
      </w:tr>
      <w:tr>
        <w:trPr>
          <w:trHeight w:val="355"/>
        </w:trPr>
        <w:tc>
          <w:tcPr>
            <w:tcW w:w="2440" w:type="dxa"/>
            <w:vAlign w:val="bottom"/>
          </w:tcPr>
          <w:p>
            <w:pPr>
              <w:spacing w:after="0"/>
              <w:rPr>
                <w:sz w:val="20"/>
                <w:szCs w:val="20"/>
                <w:color w:val="auto"/>
              </w:rPr>
            </w:pPr>
            <w:r>
              <w:rPr>
                <w:rFonts w:ascii="Courier New" w:cs="Courier New" w:eastAsia="Courier New" w:hAnsi="Courier New"/>
                <w:sz w:val="15"/>
                <w:szCs w:val="15"/>
                <w:color w:val="auto"/>
              </w:rPr>
              <w:t>Jerrold Blair,</w:t>
            </w:r>
          </w:p>
        </w:tc>
        <w:tc>
          <w:tcPr>
            <w:tcW w:w="920" w:type="dxa"/>
            <w:vAlign w:val="bottom"/>
          </w:tcPr>
          <w:p>
            <w:pPr>
              <w:jc w:val="center"/>
              <w:ind w:right="203"/>
              <w:spacing w:after="0"/>
              <w:rPr>
                <w:sz w:val="20"/>
                <w:szCs w:val="20"/>
                <w:color w:val="auto"/>
              </w:rPr>
            </w:pPr>
            <w:r>
              <w:rPr>
                <w:rFonts w:ascii="Courier New" w:cs="Courier New" w:eastAsia="Courier New" w:hAnsi="Courier New"/>
                <w:sz w:val="15"/>
                <w:szCs w:val="15"/>
                <w:color w:val="auto"/>
                <w:w w:val="99"/>
              </w:rPr>
              <w:t>1996</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262,000</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737,999</w:t>
            </w:r>
          </w:p>
        </w:tc>
        <w:tc>
          <w:tcPr>
            <w:tcW w:w="166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85,400(1)</w:t>
            </w: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920" w:type="dxa"/>
            <w:vAlign w:val="bottom"/>
          </w:tcPr>
          <w:p>
            <w:pPr>
              <w:jc w:val="center"/>
              <w:ind w:right="203"/>
              <w:spacing w:after="0"/>
              <w:rPr>
                <w:sz w:val="20"/>
                <w:szCs w:val="20"/>
                <w:color w:val="auto"/>
              </w:rPr>
            </w:pPr>
            <w:r>
              <w:rPr>
                <w:rFonts w:ascii="Courier New" w:cs="Courier New" w:eastAsia="Courier New" w:hAnsi="Courier New"/>
                <w:sz w:val="15"/>
                <w:szCs w:val="15"/>
                <w:color w:val="auto"/>
                <w:w w:val="99"/>
              </w:rPr>
              <w:t>1995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250,000</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622,068</w:t>
            </w:r>
          </w:p>
        </w:tc>
        <w:tc>
          <w:tcPr>
            <w:tcW w:w="166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0</w:t>
            </w:r>
          </w:p>
        </w:tc>
      </w:tr>
      <w:tr>
        <w:trPr>
          <w:trHeight w:val="177"/>
        </w:trPr>
        <w:tc>
          <w:tcPr>
            <w:tcW w:w="2440" w:type="dxa"/>
            <w:vAlign w:val="bottom"/>
          </w:tcPr>
          <w:p>
            <w:pPr>
              <w:spacing w:after="0"/>
              <w:rPr>
                <w:sz w:val="15"/>
                <w:szCs w:val="15"/>
                <w:color w:val="auto"/>
              </w:rPr>
            </w:pPr>
          </w:p>
        </w:tc>
        <w:tc>
          <w:tcPr>
            <w:tcW w:w="920" w:type="dxa"/>
            <w:vAlign w:val="bottom"/>
          </w:tcPr>
          <w:p>
            <w:pPr>
              <w:jc w:val="center"/>
              <w:ind w:right="203"/>
              <w:spacing w:after="0"/>
              <w:rPr>
                <w:sz w:val="20"/>
                <w:szCs w:val="20"/>
                <w:color w:val="auto"/>
              </w:rPr>
            </w:pPr>
            <w:r>
              <w:rPr>
                <w:rFonts w:ascii="Courier New" w:cs="Courier New" w:eastAsia="Courier New" w:hAnsi="Courier New"/>
                <w:sz w:val="15"/>
                <w:szCs w:val="15"/>
                <w:color w:val="auto"/>
                <w:w w:val="99"/>
              </w:rPr>
              <w:t>1994</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250,000</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357,621</w:t>
            </w:r>
          </w:p>
        </w:tc>
        <w:tc>
          <w:tcPr>
            <w:tcW w:w="166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0</w:t>
            </w:r>
          </w:p>
        </w:tc>
      </w:tr>
      <w:tr>
        <w:trPr>
          <w:trHeight w:val="355"/>
        </w:trPr>
        <w:tc>
          <w:tcPr>
            <w:tcW w:w="2440" w:type="dxa"/>
            <w:vAlign w:val="bottom"/>
          </w:tcPr>
          <w:p>
            <w:pPr>
              <w:spacing w:after="0"/>
              <w:rPr>
                <w:sz w:val="20"/>
                <w:szCs w:val="20"/>
                <w:color w:val="auto"/>
              </w:rPr>
            </w:pPr>
            <w:r>
              <w:rPr>
                <w:rFonts w:ascii="Courier New" w:cs="Courier New" w:eastAsia="Courier New" w:hAnsi="Courier New"/>
                <w:sz w:val="15"/>
                <w:szCs w:val="15"/>
                <w:color w:val="auto"/>
              </w:rPr>
              <w:t>Phillip S. Bradley,</w:t>
            </w:r>
          </w:p>
        </w:tc>
        <w:tc>
          <w:tcPr>
            <w:tcW w:w="920" w:type="dxa"/>
            <w:vAlign w:val="bottom"/>
          </w:tcPr>
          <w:p>
            <w:pPr>
              <w:jc w:val="center"/>
              <w:ind w:right="203"/>
              <w:spacing w:after="0"/>
              <w:rPr>
                <w:sz w:val="20"/>
                <w:szCs w:val="20"/>
                <w:color w:val="auto"/>
              </w:rPr>
            </w:pPr>
            <w:r>
              <w:rPr>
                <w:rFonts w:ascii="Courier New" w:cs="Courier New" w:eastAsia="Courier New" w:hAnsi="Courier New"/>
                <w:sz w:val="15"/>
                <w:szCs w:val="15"/>
                <w:color w:val="auto"/>
                <w:w w:val="99"/>
              </w:rPr>
              <w:t>1996</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399,500</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75,000</w:t>
            </w:r>
          </w:p>
        </w:tc>
        <w:tc>
          <w:tcPr>
            <w:tcW w:w="166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6,900(2)</w:t>
            </w: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President of</w:t>
            </w:r>
          </w:p>
        </w:tc>
        <w:tc>
          <w:tcPr>
            <w:tcW w:w="920" w:type="dxa"/>
            <w:vAlign w:val="bottom"/>
          </w:tcPr>
          <w:p>
            <w:pPr>
              <w:jc w:val="center"/>
              <w:ind w:right="203"/>
              <w:spacing w:after="0"/>
              <w:rPr>
                <w:sz w:val="20"/>
                <w:szCs w:val="20"/>
                <w:color w:val="auto"/>
              </w:rPr>
            </w:pPr>
            <w:r>
              <w:rPr>
                <w:rFonts w:ascii="Courier New" w:cs="Courier New" w:eastAsia="Courier New" w:hAnsi="Courier New"/>
                <w:sz w:val="15"/>
                <w:szCs w:val="15"/>
                <w:color w:val="auto"/>
                <w:w w:val="99"/>
              </w:rPr>
              <w:t>1995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400,000</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100,000</w:t>
            </w:r>
          </w:p>
        </w:tc>
        <w:tc>
          <w:tcPr>
            <w:tcW w:w="166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6,900(2)</w:t>
            </w: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Advance</w:t>
            </w:r>
          </w:p>
        </w:tc>
        <w:tc>
          <w:tcPr>
            <w:tcW w:w="920" w:type="dxa"/>
            <w:vAlign w:val="bottom"/>
          </w:tcPr>
          <w:p>
            <w:pPr>
              <w:jc w:val="center"/>
              <w:ind w:right="203"/>
              <w:spacing w:after="0"/>
              <w:rPr>
                <w:sz w:val="20"/>
                <w:szCs w:val="20"/>
                <w:color w:val="auto"/>
              </w:rPr>
            </w:pPr>
            <w:r>
              <w:rPr>
                <w:rFonts w:ascii="Courier New" w:cs="Courier New" w:eastAsia="Courier New" w:hAnsi="Courier New"/>
                <w:sz w:val="15"/>
                <w:szCs w:val="15"/>
                <w:color w:val="auto"/>
                <w:w w:val="99"/>
              </w:rPr>
              <w:t>1994</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400,000</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100,000</w:t>
            </w:r>
          </w:p>
        </w:tc>
        <w:tc>
          <w:tcPr>
            <w:tcW w:w="166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6,900(2)</w:t>
            </w:r>
          </w:p>
        </w:tc>
      </w:tr>
      <w:tr>
        <w:trPr>
          <w:trHeight w:val="355"/>
        </w:trPr>
        <w:tc>
          <w:tcPr>
            <w:tcW w:w="2440" w:type="dxa"/>
            <w:vAlign w:val="bottom"/>
          </w:tcPr>
          <w:p>
            <w:pPr>
              <w:spacing w:after="0"/>
              <w:rPr>
                <w:sz w:val="20"/>
                <w:szCs w:val="20"/>
                <w:color w:val="auto"/>
              </w:rPr>
            </w:pPr>
            <w:r>
              <w:rPr>
                <w:rFonts w:ascii="Courier New" w:cs="Courier New" w:eastAsia="Courier New" w:hAnsi="Courier New"/>
                <w:sz w:val="15"/>
                <w:szCs w:val="15"/>
                <w:color w:val="auto"/>
              </w:rPr>
              <w:t>Robert S. Tocci,</w:t>
            </w:r>
          </w:p>
        </w:tc>
        <w:tc>
          <w:tcPr>
            <w:tcW w:w="920" w:type="dxa"/>
            <w:vAlign w:val="bottom"/>
          </w:tcPr>
          <w:p>
            <w:pPr>
              <w:jc w:val="center"/>
              <w:ind w:right="203"/>
              <w:spacing w:after="0"/>
              <w:rPr>
                <w:sz w:val="20"/>
                <w:szCs w:val="20"/>
                <w:color w:val="auto"/>
              </w:rPr>
            </w:pPr>
            <w:r>
              <w:rPr>
                <w:rFonts w:ascii="Courier New" w:cs="Courier New" w:eastAsia="Courier New" w:hAnsi="Courier New"/>
                <w:sz w:val="15"/>
                <w:szCs w:val="15"/>
                <w:color w:val="auto"/>
                <w:w w:val="99"/>
              </w:rPr>
              <w:t>1996</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187,200</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25,000</w:t>
            </w:r>
          </w:p>
        </w:tc>
        <w:tc>
          <w:tcPr>
            <w:tcW w:w="16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37,500(3)</w:t>
            </w:r>
          </w:p>
        </w:tc>
        <w:tc>
          <w:tcPr>
            <w:tcW w:w="15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0</w:t>
            </w: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c>
          <w:tcPr>
            <w:tcW w:w="920" w:type="dxa"/>
            <w:vAlign w:val="bottom"/>
          </w:tcPr>
          <w:p>
            <w:pPr>
              <w:jc w:val="center"/>
              <w:ind w:right="203"/>
              <w:spacing w:after="0"/>
              <w:rPr>
                <w:sz w:val="20"/>
                <w:szCs w:val="20"/>
                <w:color w:val="auto"/>
              </w:rPr>
            </w:pPr>
            <w:r>
              <w:rPr>
                <w:rFonts w:ascii="Courier New" w:cs="Courier New" w:eastAsia="Courier New" w:hAnsi="Courier New"/>
                <w:sz w:val="15"/>
                <w:szCs w:val="15"/>
                <w:color w:val="auto"/>
                <w:w w:val="99"/>
              </w:rPr>
              <w:t>1995</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145,000</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20,000</w:t>
            </w:r>
          </w:p>
        </w:tc>
        <w:tc>
          <w:tcPr>
            <w:tcW w:w="166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0</w:t>
            </w:r>
          </w:p>
        </w:tc>
      </w:tr>
      <w:tr>
        <w:trPr>
          <w:trHeight w:val="177"/>
        </w:trPr>
        <w:tc>
          <w:tcPr>
            <w:tcW w:w="2440" w:type="dxa"/>
            <w:vAlign w:val="bottom"/>
          </w:tcPr>
          <w:p>
            <w:pPr>
              <w:spacing w:after="0"/>
              <w:rPr>
                <w:sz w:val="15"/>
                <w:szCs w:val="15"/>
                <w:color w:val="auto"/>
              </w:rPr>
            </w:pPr>
          </w:p>
        </w:tc>
        <w:tc>
          <w:tcPr>
            <w:tcW w:w="920" w:type="dxa"/>
            <w:vAlign w:val="bottom"/>
          </w:tcPr>
          <w:p>
            <w:pPr>
              <w:jc w:val="center"/>
              <w:ind w:right="203"/>
              <w:spacing w:after="0"/>
              <w:rPr>
                <w:sz w:val="20"/>
                <w:szCs w:val="20"/>
                <w:color w:val="auto"/>
              </w:rPr>
            </w:pPr>
            <w:r>
              <w:rPr>
                <w:rFonts w:ascii="Courier New" w:cs="Courier New" w:eastAsia="Courier New" w:hAnsi="Courier New"/>
                <w:sz w:val="15"/>
                <w:szCs w:val="15"/>
                <w:color w:val="auto"/>
                <w:w w:val="99"/>
              </w:rPr>
              <w:t>1994</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130,000</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20,000</w:t>
            </w:r>
          </w:p>
        </w:tc>
        <w:tc>
          <w:tcPr>
            <w:tcW w:w="166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0</w:t>
            </w:r>
          </w:p>
        </w:tc>
      </w:tr>
      <w:tr>
        <w:trPr>
          <w:trHeight w:val="355"/>
        </w:trPr>
        <w:tc>
          <w:tcPr>
            <w:tcW w:w="2440" w:type="dxa"/>
            <w:vAlign w:val="bottom"/>
          </w:tcPr>
          <w:p>
            <w:pPr>
              <w:spacing w:after="0"/>
              <w:rPr>
                <w:sz w:val="20"/>
                <w:szCs w:val="20"/>
                <w:color w:val="auto"/>
              </w:rPr>
            </w:pPr>
            <w:r>
              <w:rPr>
                <w:rFonts w:ascii="Courier New" w:cs="Courier New" w:eastAsia="Courier New" w:hAnsi="Courier New"/>
                <w:sz w:val="15"/>
                <w:szCs w:val="15"/>
                <w:color w:val="auto"/>
              </w:rPr>
              <w:t>Michael Kasbar,</w:t>
            </w:r>
          </w:p>
        </w:tc>
        <w:tc>
          <w:tcPr>
            <w:tcW w:w="920" w:type="dxa"/>
            <w:vAlign w:val="bottom"/>
          </w:tcPr>
          <w:p>
            <w:pPr>
              <w:jc w:val="center"/>
              <w:ind w:right="203"/>
              <w:spacing w:after="0"/>
              <w:rPr>
                <w:sz w:val="20"/>
                <w:szCs w:val="20"/>
                <w:color w:val="auto"/>
              </w:rPr>
            </w:pPr>
            <w:r>
              <w:rPr>
                <w:rFonts w:ascii="Courier New" w:cs="Courier New" w:eastAsia="Courier New" w:hAnsi="Courier New"/>
                <w:sz w:val="15"/>
                <w:szCs w:val="15"/>
                <w:color w:val="auto"/>
                <w:w w:val="99"/>
              </w:rPr>
              <w:t>1996</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163,450</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0</w:t>
            </w: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Chief Executive Officer</w:t>
            </w:r>
          </w:p>
        </w:tc>
        <w:tc>
          <w:tcPr>
            <w:tcW w:w="920" w:type="dxa"/>
            <w:vAlign w:val="bottom"/>
          </w:tcPr>
          <w:p>
            <w:pPr>
              <w:jc w:val="center"/>
              <w:ind w:right="203"/>
              <w:spacing w:after="0"/>
              <w:rPr>
                <w:sz w:val="20"/>
                <w:szCs w:val="20"/>
                <w:color w:val="auto"/>
              </w:rPr>
            </w:pPr>
            <w:r>
              <w:rPr>
                <w:rFonts w:ascii="Courier New" w:cs="Courier New" w:eastAsia="Courier New" w:hAnsi="Courier New"/>
                <w:sz w:val="15"/>
                <w:szCs w:val="15"/>
                <w:color w:val="auto"/>
                <w:w w:val="99"/>
              </w:rPr>
              <w:t>1995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39,300(4)</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37,500(4)</w:t>
            </w:r>
          </w:p>
        </w:tc>
        <w:tc>
          <w:tcPr>
            <w:tcW w:w="15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0</w:t>
            </w: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of Trans-Tec Services,</w:t>
            </w:r>
          </w:p>
        </w:tc>
        <w:tc>
          <w:tcPr>
            <w:tcW w:w="920" w:type="dxa"/>
            <w:vAlign w:val="bottom"/>
          </w:tcPr>
          <w:p>
            <w:pPr>
              <w:jc w:val="center"/>
              <w:ind w:right="203"/>
              <w:spacing w:after="0"/>
              <w:rPr>
                <w:sz w:val="20"/>
                <w:szCs w:val="20"/>
                <w:color w:val="auto"/>
              </w:rPr>
            </w:pPr>
            <w:r>
              <w:rPr>
                <w:rFonts w:ascii="Courier New" w:cs="Courier New" w:eastAsia="Courier New" w:hAnsi="Courier New"/>
                <w:sz w:val="15"/>
                <w:szCs w:val="15"/>
                <w:color w:val="auto"/>
                <w:w w:val="99"/>
              </w:rPr>
              <w:t>1994</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0</w:t>
            </w: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55"/>
        </w:trPr>
        <w:tc>
          <w:tcPr>
            <w:tcW w:w="2440" w:type="dxa"/>
            <w:vAlign w:val="bottom"/>
          </w:tcPr>
          <w:p>
            <w:pPr>
              <w:spacing w:after="0"/>
              <w:rPr>
                <w:sz w:val="20"/>
                <w:szCs w:val="20"/>
                <w:color w:val="auto"/>
              </w:rPr>
            </w:pPr>
            <w:r>
              <w:rPr>
                <w:rFonts w:ascii="Courier New" w:cs="Courier New" w:eastAsia="Courier New" w:hAnsi="Courier New"/>
                <w:sz w:val="15"/>
                <w:szCs w:val="15"/>
                <w:color w:val="auto"/>
              </w:rPr>
              <w:t>Paul Stebbins,</w:t>
            </w:r>
          </w:p>
        </w:tc>
        <w:tc>
          <w:tcPr>
            <w:tcW w:w="920" w:type="dxa"/>
            <w:vAlign w:val="bottom"/>
          </w:tcPr>
          <w:p>
            <w:pPr>
              <w:jc w:val="center"/>
              <w:ind w:right="203"/>
              <w:spacing w:after="0"/>
              <w:rPr>
                <w:sz w:val="20"/>
                <w:szCs w:val="20"/>
                <w:color w:val="auto"/>
              </w:rPr>
            </w:pPr>
            <w:r>
              <w:rPr>
                <w:rFonts w:ascii="Courier New" w:cs="Courier New" w:eastAsia="Courier New" w:hAnsi="Courier New"/>
                <w:sz w:val="15"/>
                <w:szCs w:val="15"/>
                <w:color w:val="auto"/>
                <w:w w:val="99"/>
              </w:rPr>
              <w:t>1996</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163,450</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0</w:t>
            </w: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Chief Operating Officer</w:t>
            </w:r>
          </w:p>
        </w:tc>
        <w:tc>
          <w:tcPr>
            <w:tcW w:w="920" w:type="dxa"/>
            <w:vAlign w:val="bottom"/>
          </w:tcPr>
          <w:p>
            <w:pPr>
              <w:jc w:val="center"/>
              <w:ind w:right="203"/>
              <w:spacing w:after="0"/>
              <w:rPr>
                <w:sz w:val="20"/>
                <w:szCs w:val="20"/>
                <w:color w:val="auto"/>
              </w:rPr>
            </w:pPr>
            <w:r>
              <w:rPr>
                <w:rFonts w:ascii="Courier New" w:cs="Courier New" w:eastAsia="Courier New" w:hAnsi="Courier New"/>
                <w:sz w:val="15"/>
                <w:szCs w:val="15"/>
                <w:color w:val="auto"/>
                <w:w w:val="99"/>
              </w:rPr>
              <w:t>1995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39,300(4)</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37,500(4)</w:t>
            </w:r>
          </w:p>
        </w:tc>
        <w:tc>
          <w:tcPr>
            <w:tcW w:w="15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0</w:t>
            </w: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of Trans-Tec Services,</w:t>
            </w:r>
          </w:p>
        </w:tc>
        <w:tc>
          <w:tcPr>
            <w:tcW w:w="920" w:type="dxa"/>
            <w:vAlign w:val="bottom"/>
          </w:tcPr>
          <w:p>
            <w:pPr>
              <w:jc w:val="center"/>
              <w:ind w:right="203"/>
              <w:spacing w:after="0"/>
              <w:rPr>
                <w:sz w:val="20"/>
                <w:szCs w:val="20"/>
                <w:color w:val="auto"/>
              </w:rPr>
            </w:pPr>
            <w:r>
              <w:rPr>
                <w:rFonts w:ascii="Courier New" w:cs="Courier New" w:eastAsia="Courier New" w:hAnsi="Courier New"/>
                <w:sz w:val="15"/>
                <w:szCs w:val="15"/>
                <w:color w:val="auto"/>
                <w:w w:val="99"/>
              </w:rPr>
              <w:t>1994</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0</w:t>
            </w: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80" w:type="dxa"/>
            <w:vAlign w:val="bottom"/>
          </w:tcPr>
          <w:p>
            <w:pPr>
              <w:spacing w:after="0"/>
              <w:rPr>
                <w:sz w:val="15"/>
                <w:szCs w:val="15"/>
                <w:color w:val="auto"/>
              </w:rPr>
            </w:pPr>
          </w:p>
        </w:tc>
      </w:tr>
    </w:tbl>
    <w:p>
      <w:pPr>
        <w:spacing w:after="0" w:line="183" w:lineRule="exact"/>
        <w:rPr>
          <w:sz w:val="20"/>
          <w:szCs w:val="20"/>
          <w:color w:val="auto"/>
        </w:rPr>
      </w:pPr>
    </w:p>
    <w:p>
      <w:pPr>
        <w:ind w:left="185" w:hanging="185"/>
        <w:spacing w:after="0"/>
        <w:tabs>
          <w:tab w:leader="none" w:pos="18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825" w:right="3119" w:hanging="641"/>
        <w:spacing w:after="0" w:line="250" w:lineRule="auto"/>
        <w:tabs>
          <w:tab w:leader="none" w:pos="825"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portion of the executive's cash compensation which has been deferred pursuant to the terms of his employment agreement. See "Certain Employment Agreements", below.</w:t>
      </w:r>
    </w:p>
    <w:p>
      <w:pPr>
        <w:spacing w:after="0" w:line="1" w:lineRule="exact"/>
        <w:rPr>
          <w:rFonts w:ascii="Courier New" w:cs="Courier New" w:eastAsia="Courier New" w:hAnsi="Courier New"/>
          <w:sz w:val="15"/>
          <w:szCs w:val="15"/>
          <w:color w:val="auto"/>
        </w:rPr>
      </w:pPr>
    </w:p>
    <w:p>
      <w:pPr>
        <w:ind w:left="825" w:right="3399" w:hanging="641"/>
        <w:spacing w:after="0" w:line="250" w:lineRule="auto"/>
        <w:tabs>
          <w:tab w:leader="none" w:pos="825"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premiums paid by the Company on life insurance for Mr. Bradley where the Company is not the beneficiary.</w:t>
      </w:r>
    </w:p>
    <w:p>
      <w:pPr>
        <w:ind w:left="825" w:right="2939" w:hanging="641"/>
        <w:spacing w:after="0" w:line="250" w:lineRule="auto"/>
        <w:tabs>
          <w:tab w:leader="none" w:pos="825"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Tocci's stock options vest over a three year period commencing May 10, 1995, the date of grant. Options to purchase 7,947 shares vested in May 1996.</w:t>
      </w:r>
    </w:p>
    <w:p>
      <w:pPr>
        <w:spacing w:after="0" w:line="1" w:lineRule="exact"/>
        <w:rPr>
          <w:rFonts w:ascii="Courier New" w:cs="Courier New" w:eastAsia="Courier New" w:hAnsi="Courier New"/>
          <w:sz w:val="15"/>
          <w:szCs w:val="15"/>
          <w:color w:val="auto"/>
        </w:rPr>
      </w:pPr>
    </w:p>
    <w:p>
      <w:pPr>
        <w:ind w:left="825" w:right="3119" w:hanging="641"/>
        <w:spacing w:after="0" w:line="251" w:lineRule="auto"/>
        <w:tabs>
          <w:tab w:leader="none" w:pos="825"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Messrs. Kasbar and Stebbins became executive officers of the Company in January 1995. Their stock options vest over a three year period commencing January 3, 1995, the date of grant. Options to purchase 9,676 shares vested in January 1996 for each of Messrs. Kasbar and Stebbins.</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5"/>
          </w:cols>
          <w:pgMar w:left="235" w:top="828"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STOCK OPTION INFORMATION</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In 1986 the Company adopted an Employee Stock Option Plan (the "Plan") under the terms of which options to purchase Common Stock of the Company are awarded to employees of the Company. The purpose of the Plan is to help attract and retain superior personnel for positions of substantial responsibility with the Company and to provide an additional incentive to officers and other key employees of the Company upon whose judgment, initiative and efforts the success and development of the Company's business depend.</w:t>
      </w:r>
    </w:p>
    <w:p>
      <w:pPr>
        <w:spacing w:after="0" w:line="35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85" w:lineRule="exact"/>
        <w:rPr>
          <w:sz w:val="20"/>
          <w:szCs w:val="20"/>
          <w:color w:val="auto"/>
        </w:rPr>
      </w:pPr>
    </w:p>
    <w:p>
      <w:pPr>
        <w:ind w:right="3219" w:firstLine="830"/>
        <w:spacing w:after="0" w:line="252" w:lineRule="auto"/>
        <w:rPr>
          <w:sz w:val="20"/>
          <w:szCs w:val="20"/>
          <w:color w:val="auto"/>
        </w:rPr>
      </w:pPr>
      <w:r>
        <w:rPr>
          <w:rFonts w:ascii="Courier New" w:cs="Courier New" w:eastAsia="Courier New" w:hAnsi="Courier New"/>
          <w:sz w:val="15"/>
          <w:szCs w:val="15"/>
          <w:color w:val="auto"/>
        </w:rPr>
        <w:t>The table below sets forth certain information pertaining to stock options granted to the named executive officers during the fiscal year ended March 31, 1996.</w:t>
      </w:r>
    </w:p>
    <w:p>
      <w:pPr>
        <w:spacing w:after="0" w:line="200" w:lineRule="exact"/>
        <w:rPr>
          <w:sz w:val="20"/>
          <w:szCs w:val="20"/>
          <w:color w:val="auto"/>
        </w:rPr>
      </w:pPr>
    </w:p>
    <w:p>
      <w:pPr>
        <w:spacing w:after="0" w:line="329" w:lineRule="exact"/>
        <w:rPr>
          <w:sz w:val="20"/>
          <w:szCs w:val="20"/>
          <w:color w:val="auto"/>
        </w:rPr>
      </w:pPr>
    </w:p>
    <w:p>
      <w:pPr>
        <w:ind w:left="7740"/>
        <w:spacing w:after="0"/>
        <w:rPr>
          <w:sz w:val="20"/>
          <w:szCs w:val="20"/>
          <w:color w:val="auto"/>
        </w:rPr>
      </w:pPr>
      <w:r>
        <w:rPr>
          <w:rFonts w:ascii="Courier New" w:cs="Courier New" w:eastAsia="Courier New" w:hAnsi="Courier New"/>
          <w:sz w:val="15"/>
          <w:szCs w:val="15"/>
          <w:color w:val="auto"/>
        </w:rPr>
        <w:t>POTENTIAL REALIZED</w:t>
      </w:r>
    </w:p>
    <w:p>
      <w:pPr>
        <w:spacing w:after="0" w:line="8" w:lineRule="exact"/>
        <w:rPr>
          <w:sz w:val="20"/>
          <w:szCs w:val="20"/>
          <w:color w:val="auto"/>
        </w:rPr>
      </w:pPr>
    </w:p>
    <w:p>
      <w:pPr>
        <w:ind w:left="7840"/>
        <w:spacing w:after="0"/>
        <w:rPr>
          <w:sz w:val="20"/>
          <w:szCs w:val="20"/>
          <w:color w:val="auto"/>
        </w:rPr>
      </w:pPr>
      <w:r>
        <w:rPr>
          <w:rFonts w:ascii="Courier New" w:cs="Courier New" w:eastAsia="Courier New" w:hAnsi="Courier New"/>
          <w:sz w:val="15"/>
          <w:szCs w:val="15"/>
          <w:color w:val="auto"/>
        </w:rPr>
        <w:t>VALUE AT ASSUMED</w:t>
      </w:r>
    </w:p>
    <w:p>
      <w:pPr>
        <w:spacing w:after="0" w:line="8" w:lineRule="exact"/>
        <w:rPr>
          <w:sz w:val="20"/>
          <w:szCs w:val="20"/>
          <w:color w:val="auto"/>
        </w:rPr>
      </w:pPr>
    </w:p>
    <w:p>
      <w:pPr>
        <w:ind w:left="1840"/>
        <w:spacing w:after="0"/>
        <w:tabs>
          <w:tab w:leader="none" w:pos="7540" w:val="left"/>
        </w:tabs>
        <w:rPr>
          <w:sz w:val="20"/>
          <w:szCs w:val="20"/>
          <w:color w:val="auto"/>
        </w:rPr>
      </w:pPr>
      <w:r>
        <w:rPr>
          <w:rFonts w:ascii="Courier New" w:cs="Courier New" w:eastAsia="Courier New" w:hAnsi="Courier New"/>
          <w:sz w:val="15"/>
          <w:szCs w:val="15"/>
          <w:color w:val="auto"/>
        </w:rPr>
        <w:t>NUMBER OF</w:t>
      </w:r>
      <w:r>
        <w:rPr>
          <w:sz w:val="20"/>
          <w:szCs w:val="20"/>
          <w:color w:val="auto"/>
        </w:rPr>
        <w:tab/>
      </w:r>
      <w:r>
        <w:rPr>
          <w:rFonts w:ascii="Courier New" w:cs="Courier New" w:eastAsia="Courier New" w:hAnsi="Courier New"/>
          <w:sz w:val="15"/>
          <w:szCs w:val="15"/>
          <w:color w:val="auto"/>
        </w:rPr>
        <w:t>ANNUAL RATES OF STOCK</w:t>
      </w:r>
    </w:p>
    <w:p>
      <w:pPr>
        <w:spacing w:after="0" w:line="8" w:lineRule="exact"/>
        <w:rPr>
          <w:sz w:val="20"/>
          <w:szCs w:val="20"/>
          <w:color w:val="auto"/>
        </w:rPr>
      </w:pPr>
    </w:p>
    <w:p>
      <w:pPr>
        <w:ind w:left="1840"/>
        <w:spacing w:after="0"/>
        <w:tabs>
          <w:tab w:leader="none" w:pos="3300" w:val="left"/>
          <w:tab w:leader="none" w:pos="7540"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 OF TOTAL</w:t>
      </w:r>
      <w:r>
        <w:rPr>
          <w:sz w:val="20"/>
          <w:szCs w:val="20"/>
          <w:color w:val="auto"/>
        </w:rPr>
        <w:tab/>
      </w:r>
      <w:r>
        <w:rPr>
          <w:rFonts w:ascii="Courier New" w:cs="Courier New" w:eastAsia="Courier New" w:hAnsi="Courier New"/>
          <w:sz w:val="15"/>
          <w:szCs w:val="15"/>
          <w:color w:val="auto"/>
        </w:rPr>
        <w:t>PRICE APPRECIATION FOR</w:t>
      </w:r>
    </w:p>
    <w:p>
      <w:pPr>
        <w:spacing w:after="0" w:line="8" w:lineRule="exact"/>
        <w:rPr>
          <w:sz w:val="20"/>
          <w:szCs w:val="20"/>
          <w:color w:val="auto"/>
        </w:rPr>
      </w:pPr>
    </w:p>
    <w:p>
      <w:pPr>
        <w:ind w:left="1840"/>
        <w:spacing w:after="0"/>
        <w:tabs>
          <w:tab w:leader="none" w:pos="3480" w:val="left"/>
          <w:tab w:leader="none" w:pos="8000" w:val="left"/>
        </w:tabs>
        <w:rPr>
          <w:sz w:val="20"/>
          <w:szCs w:val="20"/>
          <w:color w:val="auto"/>
        </w:rPr>
      </w:pPr>
      <w:r>
        <w:rPr>
          <w:rFonts w:ascii="Courier New" w:cs="Courier New" w:eastAsia="Courier New" w:hAnsi="Courier New"/>
          <w:sz w:val="15"/>
          <w:szCs w:val="15"/>
          <w:color w:val="auto"/>
        </w:rPr>
        <w:t>UNDERLYING</w:t>
      </w:r>
      <w:r>
        <w:rPr>
          <w:sz w:val="20"/>
          <w:szCs w:val="20"/>
          <w:color w:val="auto"/>
        </w:rPr>
        <w:tab/>
      </w: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OPTION TERM</w:t>
      </w:r>
    </w:p>
    <w:p>
      <w:pPr>
        <w:spacing w:after="0" w:line="8" w:lineRule="exact"/>
        <w:rPr>
          <w:sz w:val="20"/>
          <w:szCs w:val="20"/>
          <w:color w:val="auto"/>
        </w:rPr>
      </w:pPr>
    </w:p>
    <w:p>
      <w:pPr>
        <w:ind w:left="1940"/>
        <w:spacing w:after="0"/>
        <w:tabs>
          <w:tab w:leader="none" w:pos="3300" w:val="left"/>
          <w:tab w:leader="none" w:pos="4680"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GRANTED IN</w:t>
      </w:r>
      <w:r>
        <w:rPr>
          <w:sz w:val="20"/>
          <w:szCs w:val="20"/>
          <w:color w:val="auto"/>
        </w:rPr>
        <w:tab/>
      </w:r>
      <w:r>
        <w:rPr>
          <w:rFonts w:ascii="Courier New" w:cs="Courier New" w:eastAsia="Courier New" w:hAnsi="Courier New"/>
          <w:sz w:val="15"/>
          <w:szCs w:val="15"/>
          <w:color w:val="auto"/>
        </w:rPr>
        <w:t>EXERCISE</w:t>
      </w:r>
    </w:p>
    <w:p>
      <w:pPr>
        <w:spacing w:after="0" w:line="8" w:lineRule="exact"/>
        <w:rPr>
          <w:sz w:val="20"/>
          <w:szCs w:val="20"/>
          <w:color w:val="auto"/>
        </w:rPr>
      </w:pPr>
    </w:p>
    <w:p>
      <w:pPr>
        <w:spacing w:after="0"/>
        <w:tabs>
          <w:tab w:leader="none" w:pos="1920" w:val="left"/>
          <w:tab w:leader="none" w:pos="3300" w:val="left"/>
          <w:tab w:leader="none" w:pos="4780" w:val="left"/>
          <w:tab w:leader="none" w:pos="5880" w:val="left"/>
          <w:tab w:leader="none" w:pos="7720" w:val="left"/>
          <w:tab w:leader="none" w:pos="89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GRANTED</w:t>
      </w:r>
      <w:r>
        <w:rPr>
          <w:sz w:val="20"/>
          <w:szCs w:val="20"/>
          <w:color w:val="auto"/>
        </w:rPr>
        <w:tab/>
      </w:r>
      <w:r>
        <w:rPr>
          <w:rFonts w:ascii="Courier New" w:cs="Courier New" w:eastAsia="Courier New" w:hAnsi="Courier New"/>
          <w:sz w:val="15"/>
          <w:szCs w:val="15"/>
          <w:color w:val="auto"/>
        </w:rPr>
        <w:t>FISCAL YEAR</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EXPIRATION</w:t>
      </w:r>
      <w:r>
        <w:rPr>
          <w:sz w:val="20"/>
          <w:szCs w:val="20"/>
          <w:color w:val="auto"/>
        </w:rPr>
        <w:tab/>
      </w: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10%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Robert S. Tocci</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37,500</w:t>
            </w:r>
          </w:p>
        </w:tc>
        <w:tc>
          <w:tcPr>
            <w:tcW w:w="1380" w:type="dxa"/>
            <w:vAlign w:val="bottom"/>
          </w:tcPr>
          <w:p>
            <w:pPr>
              <w:ind w:left="460"/>
              <w:spacing w:after="0"/>
              <w:rPr>
                <w:sz w:val="20"/>
                <w:szCs w:val="20"/>
                <w:color w:val="auto"/>
              </w:rPr>
            </w:pPr>
            <w:r>
              <w:rPr>
                <w:rFonts w:ascii="Courier New" w:cs="Courier New" w:eastAsia="Courier New" w:hAnsi="Courier New"/>
                <w:sz w:val="15"/>
                <w:szCs w:val="15"/>
                <w:color w:val="auto"/>
              </w:rPr>
              <w:t>30.80%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$12.58</w:t>
            </w:r>
          </w:p>
        </w:tc>
        <w:tc>
          <w:tcPr>
            <w:tcW w:w="1660" w:type="dxa"/>
            <w:vAlign w:val="bottom"/>
          </w:tcPr>
          <w:p>
            <w:pPr>
              <w:ind w:left="280"/>
              <w:spacing w:after="0"/>
              <w:rPr>
                <w:sz w:val="20"/>
                <w:szCs w:val="20"/>
                <w:color w:val="auto"/>
              </w:rPr>
            </w:pPr>
            <w:r>
              <w:rPr>
                <w:rFonts w:ascii="Courier New" w:cs="Courier New" w:eastAsia="Courier New" w:hAnsi="Courier New"/>
                <w:sz w:val="15"/>
                <w:szCs w:val="15"/>
                <w:color w:val="auto"/>
              </w:rPr>
              <w:t>May 10, 2005</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$296,750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$752,045</w:t>
            </w:r>
          </w:p>
        </w:tc>
      </w:tr>
      <w:tr>
        <w:trPr>
          <w:trHeight w:val="532"/>
        </w:trPr>
        <w:tc>
          <w:tcPr>
            <w:tcW w:w="1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ind w:left="460"/>
              <w:spacing w:after="0"/>
              <w:rPr>
                <w:sz w:val="20"/>
                <w:szCs w:val="20"/>
                <w:color w:val="auto"/>
              </w:rPr>
            </w:pPr>
            <w:r>
              <w:rPr>
                <w:rFonts w:ascii="Courier New" w:cs="Courier New" w:eastAsia="Courier New" w:hAnsi="Courier New"/>
                <w:sz w:val="15"/>
                <w:szCs w:val="15"/>
                <w:color w:val="auto"/>
              </w:rPr>
              <w:t>-12-</w:t>
            </w:r>
          </w:p>
        </w:tc>
        <w:tc>
          <w:tcPr>
            <w:tcW w:w="1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19"/>
          </w:cols>
          <w:pgMar w:left="240" w:top="828" w:right="1440" w:bottom="1440" w:gutter="0" w:footer="0" w:header="0"/>
        </w:sectPr>
      </w:pPr>
    </w:p>
    <w:bookmarkStart w:id="15" w:name="page16"/>
    <w:bookmarkEnd w:id="15"/>
    <w:p>
      <w:pPr>
        <w:ind w:left="1385"/>
        <w:spacing w:after="0"/>
        <w:rPr>
          <w:sz w:val="20"/>
          <w:szCs w:val="20"/>
          <w:color w:val="auto"/>
        </w:rPr>
      </w:pPr>
      <w:r>
        <w:rPr>
          <w:rFonts w:ascii="Courier New" w:cs="Courier New" w:eastAsia="Courier New" w:hAnsi="Courier New"/>
          <w:sz w:val="15"/>
          <w:szCs w:val="15"/>
          <w:color w:val="auto"/>
        </w:rPr>
        <w:t>OPTIONS EXERCISED AND FISCAL YEAR END OPTION VALUES</w:t>
      </w:r>
    </w:p>
    <w:p>
      <w:pPr>
        <w:spacing w:after="0" w:line="362" w:lineRule="exact"/>
        <w:rPr>
          <w:sz w:val="20"/>
          <w:szCs w:val="20"/>
          <w:color w:val="auto"/>
        </w:rPr>
      </w:pPr>
    </w:p>
    <w:p>
      <w:pPr>
        <w:ind w:left="5" w:right="4140" w:firstLine="1384"/>
        <w:spacing w:after="0" w:line="251" w:lineRule="auto"/>
        <w:rPr>
          <w:sz w:val="20"/>
          <w:szCs w:val="20"/>
          <w:color w:val="auto"/>
        </w:rPr>
      </w:pPr>
      <w:r>
        <w:rPr>
          <w:rFonts w:ascii="Courier New" w:cs="Courier New" w:eastAsia="Courier New" w:hAnsi="Courier New"/>
          <w:sz w:val="15"/>
          <w:szCs w:val="15"/>
          <w:color w:val="auto"/>
        </w:rPr>
        <w:t>The table below sets forth certain information pertaining to stock options exercised by the named executive officers during the fiscal year ended March 31, 1996, and the options held by the named executive officers as of March 31, 1996.</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13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VALUE</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r>
      <w:tr>
        <w:trPr>
          <w:trHeight w:val="177"/>
        </w:trPr>
        <w:tc>
          <w:tcPr>
            <w:tcW w:w="13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NUMBER</w:t>
            </w:r>
          </w:p>
        </w:tc>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w w:val="99"/>
              </w:rPr>
              <w:t>OF</w:t>
            </w:r>
          </w:p>
        </w:tc>
        <w:tc>
          <w:tcPr>
            <w:tcW w:w="1760" w:type="dxa"/>
            <w:vAlign w:val="bottom"/>
          </w:tcPr>
          <w:p>
            <w:pPr>
              <w:ind w:left="60"/>
              <w:spacing w:after="0"/>
              <w:rPr>
                <w:sz w:val="20"/>
                <w:szCs w:val="20"/>
                <w:color w:val="auto"/>
              </w:rPr>
            </w:pPr>
            <w:r>
              <w:rPr>
                <w:rFonts w:ascii="Courier New" w:cs="Courier New" w:eastAsia="Courier New" w:hAnsi="Courier New"/>
                <w:sz w:val="15"/>
                <w:szCs w:val="15"/>
                <w:color w:val="auto"/>
              </w:rPr>
              <w:t>SHARES</w:t>
            </w:r>
          </w:p>
        </w:tc>
        <w:tc>
          <w:tcPr>
            <w:tcW w:w="2440" w:type="dxa"/>
            <w:vAlign w:val="bottom"/>
            <w:gridSpan w:val="2"/>
          </w:tcPr>
          <w:p>
            <w:pPr>
              <w:ind w:left="1160"/>
              <w:spacing w:after="0"/>
              <w:rPr>
                <w:sz w:val="20"/>
                <w:szCs w:val="20"/>
                <w:color w:val="auto"/>
              </w:rPr>
            </w:pPr>
            <w:r>
              <w:rPr>
                <w:rFonts w:ascii="Courier New" w:cs="Courier New" w:eastAsia="Courier New" w:hAnsi="Courier New"/>
                <w:sz w:val="15"/>
                <w:szCs w:val="15"/>
                <w:color w:val="auto"/>
              </w:rPr>
              <w:t>UNEXERCISED</w:t>
            </w:r>
          </w:p>
        </w:tc>
      </w:tr>
      <w:tr>
        <w:trPr>
          <w:trHeight w:val="177"/>
        </w:trPr>
        <w:tc>
          <w:tcPr>
            <w:tcW w:w="1340" w:type="dxa"/>
            <w:vAlign w:val="bottom"/>
          </w:tcPr>
          <w:p>
            <w:pPr>
              <w:spacing w:after="0"/>
              <w:rPr>
                <w:sz w:val="15"/>
                <w:szCs w:val="15"/>
                <w:color w:val="auto"/>
              </w:rPr>
            </w:pPr>
          </w:p>
        </w:tc>
        <w:tc>
          <w:tcPr>
            <w:tcW w:w="2260" w:type="dxa"/>
            <w:vAlign w:val="bottom"/>
          </w:tcPr>
          <w:p>
            <w:pPr>
              <w:ind w:left="960"/>
              <w:spacing w:after="0"/>
              <w:rPr>
                <w:sz w:val="20"/>
                <w:szCs w:val="20"/>
                <w:color w:val="auto"/>
              </w:rPr>
            </w:pPr>
            <w:r>
              <w:rPr>
                <w:rFonts w:ascii="Courier New" w:cs="Courier New" w:eastAsia="Courier New" w:hAnsi="Courier New"/>
                <w:sz w:val="15"/>
                <w:szCs w:val="15"/>
                <w:color w:val="auto"/>
              </w:rPr>
              <w:t>SHARES</w:t>
            </w:r>
          </w:p>
        </w:tc>
        <w:tc>
          <w:tcPr>
            <w:tcW w:w="1660" w:type="dxa"/>
            <w:vAlign w:val="bottom"/>
          </w:tcPr>
          <w:p>
            <w:pPr>
              <w:spacing w:after="0"/>
              <w:rPr>
                <w:sz w:val="15"/>
                <w:szCs w:val="15"/>
                <w:color w:val="auto"/>
              </w:rPr>
            </w:pPr>
          </w:p>
        </w:tc>
        <w:tc>
          <w:tcPr>
            <w:tcW w:w="3180" w:type="dxa"/>
            <w:vAlign w:val="bottom"/>
            <w:gridSpan w:val="3"/>
          </w:tcPr>
          <w:p>
            <w:pPr>
              <w:jc w:val="center"/>
              <w:ind w:right="523"/>
              <w:spacing w:after="0"/>
              <w:rPr>
                <w:sz w:val="20"/>
                <w:szCs w:val="20"/>
                <w:color w:val="auto"/>
              </w:rPr>
            </w:pPr>
            <w:r>
              <w:rPr>
                <w:rFonts w:ascii="Courier New" w:cs="Courier New" w:eastAsia="Courier New" w:hAnsi="Courier New"/>
                <w:sz w:val="15"/>
                <w:szCs w:val="15"/>
                <w:color w:val="auto"/>
              </w:rPr>
              <w:t>UNDERLYING UNEXERCISED</w:t>
            </w:r>
          </w:p>
        </w:tc>
        <w:tc>
          <w:tcPr>
            <w:tcW w:w="2440" w:type="dxa"/>
            <w:vAlign w:val="bottom"/>
            <w:gridSpan w:val="2"/>
          </w:tcPr>
          <w:p>
            <w:pPr>
              <w:ind w:left="1160"/>
              <w:spacing w:after="0"/>
              <w:rPr>
                <w:sz w:val="20"/>
                <w:szCs w:val="20"/>
                <w:color w:val="auto"/>
              </w:rPr>
            </w:pPr>
            <w:r>
              <w:rPr>
                <w:rFonts w:ascii="Courier New" w:cs="Courier New" w:eastAsia="Courier New" w:hAnsi="Courier New"/>
                <w:sz w:val="15"/>
                <w:szCs w:val="15"/>
                <w:color w:val="auto"/>
              </w:rPr>
              <w:t>IN-THE-MONEY</w:t>
            </w:r>
          </w:p>
        </w:tc>
      </w:tr>
      <w:tr>
        <w:trPr>
          <w:trHeight w:val="177"/>
        </w:trPr>
        <w:tc>
          <w:tcPr>
            <w:tcW w:w="1340" w:type="dxa"/>
            <w:vAlign w:val="bottom"/>
          </w:tcPr>
          <w:p>
            <w:pPr>
              <w:spacing w:after="0"/>
              <w:rPr>
                <w:sz w:val="15"/>
                <w:szCs w:val="15"/>
                <w:color w:val="auto"/>
              </w:rPr>
            </w:pPr>
          </w:p>
        </w:tc>
        <w:tc>
          <w:tcPr>
            <w:tcW w:w="2260" w:type="dxa"/>
            <w:vAlign w:val="bottom"/>
          </w:tcPr>
          <w:p>
            <w:pPr>
              <w:ind w:left="960"/>
              <w:spacing w:after="0"/>
              <w:rPr>
                <w:sz w:val="20"/>
                <w:szCs w:val="20"/>
                <w:color w:val="auto"/>
              </w:rPr>
            </w:pPr>
            <w:r>
              <w:rPr>
                <w:rFonts w:ascii="Courier New" w:cs="Courier New" w:eastAsia="Courier New" w:hAnsi="Courier New"/>
                <w:sz w:val="15"/>
                <w:szCs w:val="15"/>
                <w:color w:val="auto"/>
              </w:rPr>
              <w:t>ACQUIRED ON</w:t>
            </w:r>
          </w:p>
        </w:tc>
        <w:tc>
          <w:tcPr>
            <w:tcW w:w="1660" w:type="dxa"/>
            <w:vAlign w:val="bottom"/>
          </w:tcPr>
          <w:p>
            <w:pPr>
              <w:ind w:left="260"/>
              <w:spacing w:after="0"/>
              <w:rPr>
                <w:sz w:val="20"/>
                <w:szCs w:val="20"/>
                <w:color w:val="auto"/>
              </w:rPr>
            </w:pPr>
            <w:r>
              <w:rPr>
                <w:rFonts w:ascii="Courier New" w:cs="Courier New" w:eastAsia="Courier New" w:hAnsi="Courier New"/>
                <w:sz w:val="15"/>
                <w:szCs w:val="15"/>
                <w:color w:val="auto"/>
              </w:rPr>
              <w:t>VALUE</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OPTIONS</w:t>
            </w:r>
          </w:p>
        </w:tc>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w w:val="99"/>
              </w:rPr>
              <w:t>AT</w:t>
            </w:r>
          </w:p>
        </w:tc>
        <w:tc>
          <w:tcPr>
            <w:tcW w:w="1760" w:type="dxa"/>
            <w:vAlign w:val="bottom"/>
          </w:tcPr>
          <w:p>
            <w:pPr>
              <w:ind w:left="60"/>
              <w:spacing w:after="0"/>
              <w:rPr>
                <w:sz w:val="20"/>
                <w:szCs w:val="20"/>
                <w:color w:val="auto"/>
              </w:rPr>
            </w:pPr>
            <w:r>
              <w:rPr>
                <w:rFonts w:ascii="Courier New" w:cs="Courier New" w:eastAsia="Courier New" w:hAnsi="Courier New"/>
                <w:sz w:val="15"/>
                <w:szCs w:val="15"/>
                <w:color w:val="auto"/>
              </w:rPr>
              <w:t>FISCAL</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OPTIONS AT</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w w:val="99"/>
              </w:rPr>
              <w:t>FISCAL</w:t>
            </w:r>
          </w:p>
        </w:tc>
      </w:tr>
      <w:tr>
        <w:trPr>
          <w:trHeight w:val="177"/>
        </w:trPr>
        <w:tc>
          <w:tcPr>
            <w:tcW w:w="13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260" w:type="dxa"/>
            <w:vAlign w:val="bottom"/>
          </w:tcPr>
          <w:p>
            <w:pPr>
              <w:ind w:left="960"/>
              <w:spacing w:after="0"/>
              <w:rPr>
                <w:sz w:val="20"/>
                <w:szCs w:val="20"/>
                <w:color w:val="auto"/>
              </w:rPr>
            </w:pPr>
            <w:r>
              <w:rPr>
                <w:rFonts w:ascii="Courier New" w:cs="Courier New" w:eastAsia="Courier New" w:hAnsi="Courier New"/>
                <w:sz w:val="15"/>
                <w:szCs w:val="15"/>
                <w:color w:val="auto"/>
              </w:rPr>
              <w:t>EXERCISE</w:t>
            </w:r>
          </w:p>
        </w:tc>
        <w:tc>
          <w:tcPr>
            <w:tcW w:w="1660" w:type="dxa"/>
            <w:vAlign w:val="bottom"/>
          </w:tcPr>
          <w:p>
            <w:pPr>
              <w:ind w:left="260"/>
              <w:spacing w:after="0"/>
              <w:rPr>
                <w:sz w:val="20"/>
                <w:szCs w:val="20"/>
                <w:color w:val="auto"/>
              </w:rPr>
            </w:pPr>
            <w:r>
              <w:rPr>
                <w:rFonts w:ascii="Courier New" w:cs="Courier New" w:eastAsia="Courier New" w:hAnsi="Courier New"/>
                <w:sz w:val="15"/>
                <w:szCs w:val="15"/>
                <w:color w:val="auto"/>
              </w:rPr>
              <w:t>REALIZED (1)</w:t>
            </w:r>
          </w:p>
        </w:tc>
        <w:tc>
          <w:tcPr>
            <w:tcW w:w="3180" w:type="dxa"/>
            <w:vAlign w:val="bottom"/>
            <w:gridSpan w:val="3"/>
          </w:tcPr>
          <w:p>
            <w:pPr>
              <w:jc w:val="center"/>
              <w:ind w:right="523"/>
              <w:spacing w:after="0"/>
              <w:rPr>
                <w:sz w:val="20"/>
                <w:szCs w:val="20"/>
                <w:color w:val="auto"/>
              </w:rPr>
            </w:pPr>
            <w:r>
              <w:rPr>
                <w:rFonts w:ascii="Courier New" w:cs="Courier New" w:eastAsia="Courier New" w:hAnsi="Courier New"/>
                <w:sz w:val="15"/>
                <w:szCs w:val="15"/>
                <w:color w:val="auto"/>
              </w:rPr>
              <w:t>YEAR-END</w:t>
            </w:r>
          </w:p>
        </w:tc>
        <w:tc>
          <w:tcPr>
            <w:tcW w:w="2440" w:type="dxa"/>
            <w:vAlign w:val="bottom"/>
            <w:gridSpan w:val="2"/>
          </w:tcPr>
          <w:p>
            <w:pPr>
              <w:ind w:left="1160"/>
              <w:spacing w:after="0"/>
              <w:rPr>
                <w:sz w:val="20"/>
                <w:szCs w:val="20"/>
                <w:color w:val="auto"/>
              </w:rPr>
            </w:pPr>
            <w:r>
              <w:rPr>
                <w:rFonts w:ascii="Courier New" w:cs="Courier New" w:eastAsia="Courier New" w:hAnsi="Courier New"/>
                <w:sz w:val="15"/>
                <w:szCs w:val="15"/>
                <w:color w:val="auto"/>
              </w:rPr>
              <w:t>YEAR-END(2)</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1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Exercisable</w:t>
            </w:r>
          </w:p>
        </w:tc>
        <w:tc>
          <w:tcPr>
            <w:tcW w:w="1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Unexercisable</w:t>
            </w:r>
          </w:p>
        </w:tc>
        <w:tc>
          <w:tcPr>
            <w:tcW w:w="166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Exercisable</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Unexercisable</w:t>
            </w:r>
          </w:p>
        </w:tc>
      </w:tr>
      <w:tr>
        <w:trPr>
          <w:trHeight w:val="355"/>
        </w:trPr>
        <w:tc>
          <w:tcPr>
            <w:tcW w:w="1980" w:type="dxa"/>
            <w:vAlign w:val="bottom"/>
          </w:tcPr>
          <w:p>
            <w:pPr>
              <w:spacing w:after="0"/>
              <w:rPr>
                <w:sz w:val="20"/>
                <w:szCs w:val="20"/>
                <w:color w:val="auto"/>
              </w:rPr>
            </w:pPr>
            <w:r>
              <w:rPr>
                <w:rFonts w:ascii="Courier New" w:cs="Courier New" w:eastAsia="Courier New" w:hAnsi="Courier New"/>
                <w:sz w:val="15"/>
                <w:szCs w:val="15"/>
                <w:color w:val="auto"/>
              </w:rPr>
              <w:t>Ralph R. Weiser</w:t>
            </w: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0</w:t>
            </w:r>
          </w:p>
        </w:tc>
        <w:tc>
          <w:tcPr>
            <w:tcW w:w="17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0</w:t>
            </w:r>
          </w:p>
        </w:tc>
      </w:tr>
      <w:tr>
        <w:trPr>
          <w:trHeight w:val="355"/>
        </w:trPr>
        <w:tc>
          <w:tcPr>
            <w:tcW w:w="1980" w:type="dxa"/>
            <w:vAlign w:val="bottom"/>
          </w:tcPr>
          <w:p>
            <w:pPr>
              <w:spacing w:after="0"/>
              <w:rPr>
                <w:sz w:val="20"/>
                <w:szCs w:val="20"/>
                <w:color w:val="auto"/>
              </w:rPr>
            </w:pPr>
            <w:r>
              <w:rPr>
                <w:rFonts w:ascii="Courier New" w:cs="Courier New" w:eastAsia="Courier New" w:hAnsi="Courier New"/>
                <w:sz w:val="15"/>
                <w:szCs w:val="15"/>
                <w:color w:val="auto"/>
              </w:rPr>
              <w:t>Jerrold Blair</w:t>
            </w: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0</w:t>
            </w:r>
          </w:p>
        </w:tc>
        <w:tc>
          <w:tcPr>
            <w:tcW w:w="17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0</w:t>
            </w:r>
          </w:p>
        </w:tc>
      </w:tr>
      <w:tr>
        <w:trPr>
          <w:trHeight w:val="355"/>
        </w:trPr>
        <w:tc>
          <w:tcPr>
            <w:tcW w:w="1980" w:type="dxa"/>
            <w:vAlign w:val="bottom"/>
          </w:tcPr>
          <w:p>
            <w:pPr>
              <w:spacing w:after="0"/>
              <w:rPr>
                <w:sz w:val="20"/>
                <w:szCs w:val="20"/>
                <w:color w:val="auto"/>
              </w:rPr>
            </w:pPr>
            <w:r>
              <w:rPr>
                <w:rFonts w:ascii="Courier New" w:cs="Courier New" w:eastAsia="Courier New" w:hAnsi="Courier New"/>
                <w:sz w:val="15"/>
                <w:szCs w:val="15"/>
                <w:color w:val="auto"/>
              </w:rPr>
              <w:t>Phillip S. Bradley</w:t>
            </w: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37,500</w:t>
            </w:r>
          </w:p>
        </w:tc>
        <w:tc>
          <w:tcPr>
            <w:tcW w:w="14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279,688</w:t>
            </w:r>
          </w:p>
        </w:tc>
        <w:tc>
          <w:tcPr>
            <w:tcW w:w="162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0</w:t>
            </w:r>
          </w:p>
        </w:tc>
        <w:tc>
          <w:tcPr>
            <w:tcW w:w="17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0</w:t>
            </w:r>
          </w:p>
        </w:tc>
      </w:tr>
      <w:tr>
        <w:trPr>
          <w:trHeight w:val="355"/>
        </w:trPr>
        <w:tc>
          <w:tcPr>
            <w:tcW w:w="1980" w:type="dxa"/>
            <w:vAlign w:val="bottom"/>
          </w:tcPr>
          <w:p>
            <w:pPr>
              <w:spacing w:after="0"/>
              <w:rPr>
                <w:sz w:val="20"/>
                <w:szCs w:val="20"/>
                <w:color w:val="auto"/>
              </w:rPr>
            </w:pPr>
            <w:r>
              <w:rPr>
                <w:rFonts w:ascii="Courier New" w:cs="Courier New" w:eastAsia="Courier New" w:hAnsi="Courier New"/>
                <w:sz w:val="15"/>
                <w:szCs w:val="15"/>
                <w:color w:val="auto"/>
              </w:rPr>
              <w:t>Robert S. Tocci</w:t>
            </w: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13,125</w:t>
            </w:r>
          </w:p>
        </w:tc>
        <w:tc>
          <w:tcPr>
            <w:tcW w:w="14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94,141</w:t>
            </w:r>
          </w:p>
        </w:tc>
        <w:tc>
          <w:tcPr>
            <w:tcW w:w="162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13,572</w:t>
            </w:r>
          </w:p>
        </w:tc>
        <w:tc>
          <w:tcPr>
            <w:tcW w:w="17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29,553</w:t>
            </w:r>
          </w:p>
        </w:tc>
        <w:tc>
          <w:tcPr>
            <w:tcW w:w="16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$104,052</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$130,526</w:t>
            </w:r>
          </w:p>
        </w:tc>
      </w:tr>
      <w:tr>
        <w:trPr>
          <w:trHeight w:val="355"/>
        </w:trPr>
        <w:tc>
          <w:tcPr>
            <w:tcW w:w="1980" w:type="dxa"/>
            <w:vAlign w:val="bottom"/>
          </w:tcPr>
          <w:p>
            <w:pPr>
              <w:spacing w:after="0"/>
              <w:rPr>
                <w:sz w:val="20"/>
                <w:szCs w:val="20"/>
                <w:color w:val="auto"/>
              </w:rPr>
            </w:pPr>
            <w:r>
              <w:rPr>
                <w:rFonts w:ascii="Courier New" w:cs="Courier New" w:eastAsia="Courier New" w:hAnsi="Courier New"/>
                <w:sz w:val="15"/>
                <w:szCs w:val="15"/>
                <w:color w:val="auto"/>
              </w:rPr>
              <w:t>Michael Kasbar</w:t>
            </w: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9,676</w:t>
            </w:r>
          </w:p>
        </w:tc>
        <w:tc>
          <w:tcPr>
            <w:tcW w:w="17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27,824</w:t>
            </w:r>
          </w:p>
        </w:tc>
        <w:tc>
          <w:tcPr>
            <w:tcW w:w="16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64,507</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185,493</w:t>
            </w:r>
          </w:p>
        </w:tc>
      </w:tr>
      <w:tr>
        <w:trPr>
          <w:trHeight w:val="355"/>
        </w:trPr>
        <w:tc>
          <w:tcPr>
            <w:tcW w:w="1980" w:type="dxa"/>
            <w:vAlign w:val="bottom"/>
          </w:tcPr>
          <w:p>
            <w:pPr>
              <w:spacing w:after="0"/>
              <w:rPr>
                <w:sz w:val="20"/>
                <w:szCs w:val="20"/>
                <w:color w:val="auto"/>
              </w:rPr>
            </w:pPr>
            <w:r>
              <w:rPr>
                <w:rFonts w:ascii="Courier New" w:cs="Courier New" w:eastAsia="Courier New" w:hAnsi="Courier New"/>
                <w:sz w:val="15"/>
                <w:szCs w:val="15"/>
                <w:color w:val="auto"/>
              </w:rPr>
              <w:t>Paul Stebbins</w:t>
            </w: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9,676</w:t>
            </w:r>
          </w:p>
        </w:tc>
        <w:tc>
          <w:tcPr>
            <w:tcW w:w="17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27,824</w:t>
            </w:r>
          </w:p>
        </w:tc>
        <w:tc>
          <w:tcPr>
            <w:tcW w:w="16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64,507</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185,493</w:t>
            </w:r>
          </w:p>
        </w:tc>
      </w:tr>
    </w:tbl>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745" w:right="4240" w:hanging="745"/>
        <w:spacing w:after="0" w:line="252" w:lineRule="auto"/>
        <w:tabs>
          <w:tab w:leader="none" w:pos="74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realized upon exercise consists of the difference between (i) the closing price of the Common Stock on the New York Stock Exchange ("NYSE") on the date of exercise, and (ii) the option exercise price.</w:t>
      </w:r>
    </w:p>
    <w:p>
      <w:pPr>
        <w:spacing w:after="0" w:line="174" w:lineRule="exact"/>
        <w:rPr>
          <w:rFonts w:ascii="Courier New" w:cs="Courier New" w:eastAsia="Courier New" w:hAnsi="Courier New"/>
          <w:sz w:val="15"/>
          <w:szCs w:val="15"/>
          <w:color w:val="auto"/>
        </w:rPr>
      </w:pPr>
    </w:p>
    <w:p>
      <w:pPr>
        <w:ind w:left="745" w:right="4320" w:hanging="745"/>
        <w:spacing w:after="0" w:line="253" w:lineRule="auto"/>
        <w:tabs>
          <w:tab w:leader="none" w:pos="74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a fair market value of $17 per share for the Common Stock, as determined by using the closing price on the NYSE on March 31, 1996.</w:t>
      </w:r>
    </w:p>
    <w:p>
      <w:pPr>
        <w:spacing w:after="0" w:line="200" w:lineRule="exact"/>
        <w:rPr>
          <w:sz w:val="20"/>
          <w:szCs w:val="20"/>
          <w:color w:val="auto"/>
        </w:rPr>
      </w:pPr>
    </w:p>
    <w:p>
      <w:pPr>
        <w:spacing w:after="0" w:line="329"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CERTAIN EMPLOYMENT AGREEMENTS</w:t>
      </w:r>
    </w:p>
    <w:p>
      <w:pPr>
        <w:spacing w:after="0" w:line="185" w:lineRule="exact"/>
        <w:rPr>
          <w:sz w:val="20"/>
          <w:szCs w:val="20"/>
          <w:color w:val="auto"/>
        </w:rPr>
      </w:pPr>
    </w:p>
    <w:p>
      <w:pPr>
        <w:ind w:left="5" w:right="4140" w:firstLine="1384"/>
        <w:spacing w:after="0" w:line="251" w:lineRule="auto"/>
        <w:rPr>
          <w:sz w:val="20"/>
          <w:szCs w:val="20"/>
          <w:color w:val="auto"/>
        </w:rPr>
      </w:pPr>
      <w:r>
        <w:rPr>
          <w:rFonts w:ascii="Courier New" w:cs="Courier New" w:eastAsia="Courier New" w:hAnsi="Courier New"/>
          <w:sz w:val="15"/>
          <w:szCs w:val="15"/>
          <w:color w:val="auto"/>
        </w:rPr>
        <w:t>On January 23, 1996, the Company's employment agreements with Mr. Weiser and Mr. Blair were amended to extend the expiration of the agreements from March 31, 2000 until March 31, 2001. Each agreement, as amended, provides for an annual salary of $250,000, and annual bonus equal to 5% of the pre-tax income of the Company in excess of $2,000,000.</w:t>
      </w:r>
    </w:p>
    <w:p>
      <w:pPr>
        <w:spacing w:after="0" w:line="176" w:lineRule="exact"/>
        <w:rPr>
          <w:sz w:val="20"/>
          <w:szCs w:val="20"/>
          <w:color w:val="auto"/>
        </w:rPr>
      </w:pPr>
    </w:p>
    <w:p>
      <w:pPr>
        <w:ind w:left="5" w:right="4420" w:firstLine="1384"/>
        <w:spacing w:after="0" w:line="250" w:lineRule="auto"/>
        <w:rPr>
          <w:sz w:val="20"/>
          <w:szCs w:val="20"/>
          <w:color w:val="auto"/>
        </w:rPr>
      </w:pPr>
      <w:r>
        <w:rPr>
          <w:rFonts w:ascii="Courier New" w:cs="Courier New" w:eastAsia="Courier New" w:hAnsi="Courier New"/>
          <w:sz w:val="15"/>
          <w:szCs w:val="15"/>
          <w:color w:val="auto"/>
        </w:rPr>
        <w:t>The employment agreements limit the amount of each executive's annual salary and bonus to the maximum amount which may be deducted under the Internal Revenue Code (currently $1,000,000 per year). In March 1996, the employment agreements were amended to provide that if in any year the cash compensation payable to Mr. Blair or Mr. Weiser exceeds the $1,000,000 limit described above,</w:t>
      </w:r>
    </w:p>
    <w:p>
      <w:pPr>
        <w:spacing w:after="0" w:line="3"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1525"/>
          </w:cols>
          <w:pgMar w:left="235" w:top="828" w:right="139" w:bottom="1440" w:gutter="0" w:footer="0" w:header="0"/>
        </w:sectPr>
      </w:pPr>
    </w:p>
    <w:bookmarkStart w:id="16" w:name="page17"/>
    <w:bookmarkEnd w:id="16"/>
    <w:p>
      <w:pPr>
        <w:ind w:right="2839"/>
        <w:spacing w:after="0" w:line="251" w:lineRule="auto"/>
        <w:rPr>
          <w:sz w:val="20"/>
          <w:szCs w:val="20"/>
          <w:color w:val="auto"/>
        </w:rPr>
      </w:pPr>
      <w:r>
        <w:rPr>
          <w:rFonts w:ascii="Courier New" w:cs="Courier New" w:eastAsia="Courier New" w:hAnsi="Courier New"/>
          <w:sz w:val="15"/>
          <w:szCs w:val="15"/>
          <w:color w:val="auto"/>
        </w:rPr>
        <w:t>the excess will be deferred and paid to the executive in a future year when such compensation can be deducted by the Company for federal tax purposes. For the fiscal year ended March 31, 1996, the Company deferred $85,400 in compensation for each of Mr. Weiser and Mr. Blair. The deferred amounts will bear interest at the prime rate until paid to the executives.</w:t>
      </w:r>
    </w:p>
    <w:p>
      <w:pPr>
        <w:spacing w:after="0" w:line="176" w:lineRule="exact"/>
        <w:rPr>
          <w:sz w:val="20"/>
          <w:szCs w:val="20"/>
          <w:color w:val="auto"/>
        </w:rPr>
      </w:pPr>
    </w:p>
    <w:p>
      <w:pPr>
        <w:ind w:right="2839" w:firstLine="1384"/>
        <w:spacing w:after="0" w:line="251" w:lineRule="auto"/>
        <w:rPr>
          <w:sz w:val="20"/>
          <w:szCs w:val="20"/>
          <w:color w:val="auto"/>
        </w:rPr>
      </w:pPr>
      <w:r>
        <w:rPr>
          <w:rFonts w:ascii="Courier New" w:cs="Courier New" w:eastAsia="Courier New" w:hAnsi="Courier New"/>
          <w:sz w:val="15"/>
          <w:szCs w:val="15"/>
          <w:color w:val="auto"/>
        </w:rPr>
        <w:t>The employment agreements also provide that if the Company terminates the employment of the executive for reasons other than death, disability, or cause, or, if the executive terminates his employment with the Company for good reason, including under certain circumstances, a change in control of the Company, the Company will pay the executive compensation of up to three times his average salary and bonus during the five year period preceding his termination.</w:t>
      </w:r>
    </w:p>
    <w:p>
      <w:pPr>
        <w:spacing w:after="0" w:line="176" w:lineRule="exact"/>
        <w:rPr>
          <w:sz w:val="20"/>
          <w:szCs w:val="20"/>
          <w:color w:val="auto"/>
        </w:rPr>
      </w:pPr>
    </w:p>
    <w:p>
      <w:pPr>
        <w:ind w:right="2939" w:firstLine="1384"/>
        <w:spacing w:after="0" w:line="250" w:lineRule="auto"/>
        <w:rPr>
          <w:sz w:val="20"/>
          <w:szCs w:val="20"/>
          <w:color w:val="auto"/>
        </w:rPr>
      </w:pPr>
      <w:r>
        <w:rPr>
          <w:rFonts w:ascii="Courier New" w:cs="Courier New" w:eastAsia="Courier New" w:hAnsi="Courier New"/>
          <w:sz w:val="15"/>
          <w:szCs w:val="15"/>
          <w:color w:val="auto"/>
        </w:rPr>
        <w:t>The employment agreements with Messrs. Weiser and Blair provide that, upon expiration or termination of such agreements for any reason, the executive shall not solicit or transact business with the Company's suppliers, sales representatives or customers, and shall not compete with the Company, for a period of three years following the date of expiration or termination, in the states of Florida, Louisiana, Georgia, Delaware, Pennsylvania, New York, California, Virginia, New Jersey, or Maryland, or any other state where the Company collects or sells used oil, or in Singapore, Greece, South Korea, England or Costa Rica, or any airport or seaport anywhere in the world that is or has been serviced by the Company or its affiliates at any time since January 1, 1994.</w:t>
      </w:r>
    </w:p>
    <w:p>
      <w:pPr>
        <w:spacing w:after="0" w:line="182" w:lineRule="exact"/>
        <w:rPr>
          <w:sz w:val="20"/>
          <w:szCs w:val="20"/>
          <w:color w:val="auto"/>
        </w:rPr>
      </w:pPr>
    </w:p>
    <w:p>
      <w:pPr>
        <w:ind w:right="2839" w:firstLine="1384"/>
        <w:spacing w:after="0" w:line="250" w:lineRule="auto"/>
        <w:rPr>
          <w:sz w:val="20"/>
          <w:szCs w:val="20"/>
          <w:color w:val="auto"/>
        </w:rPr>
      </w:pPr>
      <w:r>
        <w:rPr>
          <w:rFonts w:ascii="Courier New" w:cs="Courier New" w:eastAsia="Courier New" w:hAnsi="Courier New"/>
          <w:sz w:val="15"/>
          <w:szCs w:val="15"/>
          <w:color w:val="auto"/>
        </w:rPr>
        <w:t>The Company employs Phillip S. Bradley, President of Advance and a Director of the Company, pursuant to an employment agreement which expires on June 30, 2000. The agreement also provides that Mr. Bradley will serve as a consultant to the Company from July 1, 2000 to June 30, 2007. Effective July 1, 1996, Mr. Bradley receives a salary of $500,000 per year. While he serves as a consultant to the Company, Mr. Bradley will receive annual consulting fees of $100,000 per year plus certain insurance benefits. The agreement prohibits Mr. Bradley from competing with the Company's aviation fuel business for a period of five years following the termination of his employment or consulting agreement for any reason.</w:t>
      </w:r>
    </w:p>
    <w:p>
      <w:pPr>
        <w:spacing w:after="0" w:line="182" w:lineRule="exact"/>
        <w:rPr>
          <w:sz w:val="20"/>
          <w:szCs w:val="20"/>
          <w:color w:val="auto"/>
        </w:rPr>
      </w:pPr>
    </w:p>
    <w:p>
      <w:pPr>
        <w:ind w:right="3019" w:firstLine="1384"/>
        <w:spacing w:after="0" w:line="252" w:lineRule="auto"/>
        <w:rPr>
          <w:sz w:val="20"/>
          <w:szCs w:val="20"/>
          <w:color w:val="auto"/>
        </w:rPr>
      </w:pPr>
      <w:r>
        <w:rPr>
          <w:rFonts w:ascii="Courier New" w:cs="Courier New" w:eastAsia="Courier New" w:hAnsi="Courier New"/>
          <w:sz w:val="15"/>
          <w:szCs w:val="15"/>
          <w:color w:val="auto"/>
        </w:rPr>
        <w:t>The principal terms of the Company's employment agreements with Michael Kasbar and Paul Stebbins are set forth in the section of this Proxy Statement titled "Transactions with Management and Others."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REPORT ON EXECUTIVE COMPENSATION</w:t>
      </w:r>
    </w:p>
    <w:p>
      <w:pPr>
        <w:spacing w:after="0" w:line="185" w:lineRule="exact"/>
        <w:rPr>
          <w:sz w:val="20"/>
          <w:szCs w:val="20"/>
          <w:color w:val="auto"/>
        </w:rPr>
      </w:pPr>
    </w:p>
    <w:p>
      <w:pPr>
        <w:ind w:right="3219" w:firstLine="1384"/>
        <w:spacing w:after="0" w:line="253" w:lineRule="auto"/>
        <w:rPr>
          <w:sz w:val="20"/>
          <w:szCs w:val="20"/>
          <w:color w:val="auto"/>
        </w:rPr>
      </w:pPr>
      <w:r>
        <w:rPr>
          <w:rFonts w:ascii="Courier New" w:cs="Courier New" w:eastAsia="Courier New" w:hAnsi="Courier New"/>
          <w:sz w:val="15"/>
          <w:szCs w:val="15"/>
          <w:color w:val="auto"/>
        </w:rPr>
        <w:t>GENERAL. The Compensation Committee of the Board of Directors oversees the Company's executive compensation practices</w:t>
      </w:r>
    </w:p>
    <w:p>
      <w:pPr>
        <w:spacing w:after="0" w:line="17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50" w:right="1440" w:bottom="1440" w:gutter="0" w:footer="0" w:header="0"/>
        </w:sectPr>
      </w:pPr>
    </w:p>
    <w:bookmarkStart w:id="17" w:name="page18"/>
    <w:bookmarkEnd w:id="17"/>
    <w:p>
      <w:pPr>
        <w:ind w:right="2839"/>
        <w:spacing w:after="0" w:line="251" w:lineRule="auto"/>
        <w:rPr>
          <w:sz w:val="20"/>
          <w:szCs w:val="20"/>
          <w:color w:val="auto"/>
        </w:rPr>
      </w:pPr>
      <w:r>
        <w:rPr>
          <w:rFonts w:ascii="Courier New" w:cs="Courier New" w:eastAsia="Courier New" w:hAnsi="Courier New"/>
          <w:sz w:val="15"/>
          <w:szCs w:val="15"/>
          <w:color w:val="auto"/>
        </w:rPr>
        <w:t>and policies. By offering competitive base salaries, performance-based bonuses, and equity interests in the Company through stock options, the Company expects to attract outstanding individuals to its key management posts. The Compensation Committee seeks to have each executive officer's compensation reflect the Company's profitability as well as the officer's responsibilities and past performance.</w:t>
      </w:r>
    </w:p>
    <w:p>
      <w:pPr>
        <w:spacing w:after="0" w:line="176" w:lineRule="exact"/>
        <w:rPr>
          <w:sz w:val="20"/>
          <w:szCs w:val="20"/>
          <w:color w:val="auto"/>
        </w:rPr>
      </w:pPr>
    </w:p>
    <w:p>
      <w:pPr>
        <w:ind w:right="2839" w:firstLine="1384"/>
        <w:spacing w:after="0" w:line="251" w:lineRule="auto"/>
        <w:rPr>
          <w:sz w:val="20"/>
          <w:szCs w:val="20"/>
          <w:color w:val="auto"/>
        </w:rPr>
      </w:pPr>
      <w:r>
        <w:rPr>
          <w:rFonts w:ascii="Courier New" w:cs="Courier New" w:eastAsia="Courier New" w:hAnsi="Courier New"/>
          <w:sz w:val="15"/>
          <w:szCs w:val="15"/>
          <w:color w:val="auto"/>
        </w:rPr>
        <w:t>BASE SALARY. The base salary offered to executive officers by the Company is competitive in relation to industry standards and corporations of comparable size and complexity. The Company has employment contracts with each of its executive officers, and these agreements provide for different levels of base compensation. The employment agreements generally extend for terms of three to five years, enabling the Company to stabilize levels of executive salaries.</w:t>
      </w:r>
    </w:p>
    <w:p>
      <w:pPr>
        <w:spacing w:after="0" w:line="176" w:lineRule="exact"/>
        <w:rPr>
          <w:sz w:val="20"/>
          <w:szCs w:val="20"/>
          <w:color w:val="auto"/>
        </w:rPr>
      </w:pPr>
    </w:p>
    <w:p>
      <w:pPr>
        <w:ind w:right="2939" w:firstLine="1384"/>
        <w:spacing w:after="0" w:line="251" w:lineRule="auto"/>
        <w:rPr>
          <w:sz w:val="20"/>
          <w:szCs w:val="20"/>
          <w:color w:val="auto"/>
        </w:rPr>
      </w:pPr>
      <w:r>
        <w:rPr>
          <w:rFonts w:ascii="Courier New" w:cs="Courier New" w:eastAsia="Courier New" w:hAnsi="Courier New"/>
          <w:sz w:val="15"/>
          <w:szCs w:val="15"/>
          <w:color w:val="auto"/>
        </w:rPr>
        <w:t>BONUS COMPENSATION. All executive officers are eligible for performance-based bonuses. The performance-based bonuses are typically determined as a percentage of the Company's pre-tax earnings in excess of predetermined goals. With respect to the Company's senior executives (including the Chairman and President), the percentage of pre-tax earnings and the predetermined goals are established within the officer's employment contract. In situations where an employment contract does not specify the bonus formula, the Chairman of the Board and the President of the Company determine the bonus.</w:t>
      </w:r>
    </w:p>
    <w:p>
      <w:pPr>
        <w:spacing w:after="0" w:line="175" w:lineRule="exact"/>
        <w:rPr>
          <w:sz w:val="20"/>
          <w:szCs w:val="20"/>
          <w:color w:val="auto"/>
        </w:rPr>
      </w:pPr>
    </w:p>
    <w:p>
      <w:pPr>
        <w:ind w:right="2839" w:firstLine="1384"/>
        <w:spacing w:after="0" w:line="250" w:lineRule="auto"/>
        <w:rPr>
          <w:sz w:val="20"/>
          <w:szCs w:val="20"/>
          <w:color w:val="auto"/>
        </w:rPr>
      </w:pPr>
      <w:r>
        <w:rPr>
          <w:rFonts w:ascii="Courier New" w:cs="Courier New" w:eastAsia="Courier New" w:hAnsi="Courier New"/>
          <w:sz w:val="15"/>
          <w:szCs w:val="15"/>
          <w:color w:val="auto"/>
        </w:rPr>
        <w:t>STOCK OPTIONS. The Company offers stock options to its executive officers in order to align the interests of the executive officers with those of the stockholders and also to encourage the executive officers to become substantial stockholders. Because stock options are awarded at market price, the value of the stock options will increase according to the increase in the Company's stock price. Therefore, the award of stock options has proven to be a very successful long-term incentive for future performance. Grants to executive officers are dependent upon many factors, including the individual's prior and expected performance, impact upon the Company, level of position and responsibility, and potential for promotion. The Company grants stock options upon favorable individual employee evaluations, which are performed periodically. In order for an executive officer to exercise the stock option, the officer must remain in the employ of the Company at the time the stock options vest, which is usually one to three years after the option is awarded.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R. Benbow, Chairman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Myles Klein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Celestin A. Durand, III</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828"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5" w:lineRule="exact"/>
        <w:rPr>
          <w:sz w:val="20"/>
          <w:szCs w:val="20"/>
          <w:color w:val="auto"/>
        </w:rPr>
      </w:pPr>
    </w:p>
    <w:p>
      <w:pPr>
        <w:ind w:right="2939" w:firstLine="1384"/>
        <w:spacing w:after="0" w:line="251" w:lineRule="auto"/>
        <w:rPr>
          <w:sz w:val="20"/>
          <w:szCs w:val="20"/>
          <w:color w:val="auto"/>
        </w:rPr>
      </w:pPr>
      <w:r>
        <w:rPr>
          <w:rFonts w:ascii="Courier New" w:cs="Courier New" w:eastAsia="Courier New" w:hAnsi="Courier New"/>
          <w:sz w:val="15"/>
          <w:szCs w:val="15"/>
          <w:color w:val="auto"/>
        </w:rPr>
        <w:t>The following persons served as members of the Compensation Committee of the Board of Directors during the year ended March 31, 1996: Ralph R. Feuerring, John R. Benbow, and Celestin A. Durand, III. None of the members of the Compensation Committee were employees of the Company during the year ended March 31, 1996.</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PERFORMANCE GRAPH</w:t>
      </w:r>
    </w:p>
    <w:p>
      <w:pPr>
        <w:spacing w:after="0" w:line="185" w:lineRule="exact"/>
        <w:rPr>
          <w:sz w:val="20"/>
          <w:szCs w:val="20"/>
          <w:color w:val="auto"/>
        </w:rPr>
      </w:pPr>
    </w:p>
    <w:p>
      <w:pPr>
        <w:ind w:right="2839" w:firstLine="1384"/>
        <w:spacing w:after="0" w:line="251" w:lineRule="auto"/>
        <w:rPr>
          <w:sz w:val="20"/>
          <w:szCs w:val="20"/>
          <w:color w:val="auto"/>
        </w:rPr>
      </w:pPr>
      <w:r>
        <w:rPr>
          <w:rFonts w:ascii="Courier New" w:cs="Courier New" w:eastAsia="Courier New" w:hAnsi="Courier New"/>
          <w:sz w:val="15"/>
          <w:szCs w:val="15"/>
          <w:color w:val="auto"/>
        </w:rPr>
        <w:t>In accordance with Securities and Exchange Commission regulations, the following graph compares the cumulative total shareholder return to the Company's stockholders, during the five year period ended March 31, 1996, to the Russell 2000 Index, the Standard &amp; Poor's Transportation Index, and to a group of issuers which, as of March 31, 1995, had similar market capitalizations to that of the Company.</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828" w:right="1440" w:bottom="1440" w:gutter="0" w:footer="0" w:header="0"/>
        </w:sectPr>
      </w:pPr>
    </w:p>
    <w:bookmarkStart w:id="19" w:name="page20"/>
    <w:bookmarkEnd w:id="19"/>
    <w:p>
      <w:pPr>
        <w:ind w:left="2025"/>
        <w:spacing w:after="0"/>
        <w:rPr>
          <w:sz w:val="20"/>
          <w:szCs w:val="20"/>
          <w:color w:val="auto"/>
        </w:rPr>
      </w:pPr>
      <w:r>
        <w:rPr>
          <w:rFonts w:ascii="Courier New" w:cs="Courier New" w:eastAsia="Courier New" w:hAnsi="Courier New"/>
          <w:sz w:val="15"/>
          <w:szCs w:val="15"/>
          <w:color w:val="auto"/>
        </w:rPr>
        <w:t>Comparison of Five Year Cumulative Total Return (1)</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Among World Fuel Services Corporation, The Russell 2000 Index,</w:t>
            </w:r>
          </w:p>
        </w:tc>
      </w:tr>
      <w:tr>
        <w:trPr>
          <w:trHeight w:val="177"/>
        </w:trPr>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60" w:type="dxa"/>
            <w:vAlign w:val="bottom"/>
            <w:gridSpan w:val="5"/>
          </w:tcPr>
          <w:p>
            <w:pPr>
              <w:ind w:left="460"/>
              <w:spacing w:after="0"/>
              <w:rPr>
                <w:sz w:val="20"/>
                <w:szCs w:val="20"/>
                <w:color w:val="auto"/>
              </w:rPr>
            </w:pPr>
            <w:r>
              <w:rPr>
                <w:rFonts w:ascii="Courier New" w:cs="Courier New" w:eastAsia="Courier New" w:hAnsi="Courier New"/>
                <w:sz w:val="15"/>
                <w:szCs w:val="15"/>
                <w:color w:val="auto"/>
              </w:rPr>
              <w:t>the Standard &amp; Poor's Transportation Index and</w:t>
            </w:r>
          </w:p>
        </w:tc>
      </w:tr>
      <w:tr>
        <w:trPr>
          <w:trHeight w:val="177"/>
        </w:trPr>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Market Capitalization Group (2)</w:t>
            </w:r>
          </w:p>
        </w:tc>
        <w:tc>
          <w:tcPr>
            <w:tcW w:w="880" w:type="dxa"/>
            <w:vAlign w:val="bottom"/>
          </w:tcPr>
          <w:p>
            <w:pPr>
              <w:spacing w:after="0"/>
              <w:rPr>
                <w:sz w:val="15"/>
                <w:szCs w:val="15"/>
                <w:color w:val="auto"/>
              </w:rPr>
            </w:pPr>
          </w:p>
        </w:tc>
      </w:tr>
      <w:tr>
        <w:trPr>
          <w:trHeight w:val="355"/>
        </w:trPr>
        <w:tc>
          <w:tcPr>
            <w:tcW w:w="280" w:type="dxa"/>
            <w:vAlign w:val="bottom"/>
          </w:tcPr>
          <w:p>
            <w:pPr>
              <w:spacing w:after="0"/>
              <w:rPr>
                <w:sz w:val="24"/>
                <w:szCs w:val="24"/>
                <w:color w:val="auto"/>
              </w:rPr>
            </w:pP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$33</w:t>
            </w:r>
          </w:p>
        </w:tc>
        <w:tc>
          <w:tcPr>
            <w:tcW w:w="1760" w:type="dxa"/>
            <w:vAlign w:val="bottom"/>
            <w:gridSpan w:val="2"/>
          </w:tcPr>
          <w:p>
            <w:pPr>
              <w:ind w:left="280"/>
              <w:spacing w:after="0"/>
              <w:rPr>
                <w:sz w:val="20"/>
                <w:szCs w:val="20"/>
                <w:color w:val="auto"/>
              </w:rPr>
            </w:pPr>
            <w:r>
              <w:rPr>
                <w:rFonts w:ascii="Courier New" w:cs="Courier New" w:eastAsia="Courier New" w:hAnsi="Courier New"/>
                <w:sz w:val="5"/>
                <w:szCs w:val="5"/>
                <w:color w:val="auto"/>
                <w:w w:val="77"/>
              </w:rPr>
              <w:t>---------------------------------------------------------------</w:t>
            </w: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7"/>
        </w:trPr>
        <w:tc>
          <w:tcPr>
            <w:tcW w:w="280" w:type="dxa"/>
            <w:vAlign w:val="bottom"/>
          </w:tcPr>
          <w:p>
            <w:pPr>
              <w:spacing w:after="0"/>
              <w:rPr>
                <w:sz w:val="15"/>
                <w:szCs w:val="15"/>
                <w:color w:val="auto"/>
              </w:rPr>
            </w:pP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30</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4580" w:type="dxa"/>
            <w:vAlign w:val="bottom"/>
            <w:gridSpan w:val="4"/>
          </w:tcPr>
          <w:p>
            <w:pPr>
              <w:spacing w:after="0"/>
              <w:rPr>
                <w:sz w:val="20"/>
                <w:szCs w:val="20"/>
                <w:color w:val="auto"/>
              </w:rPr>
            </w:pPr>
            <w:r>
              <w:rPr>
                <w:rFonts w:ascii="Courier New" w:cs="Courier New" w:eastAsia="Courier New" w:hAnsi="Courier New"/>
                <w:sz w:val="15"/>
                <w:szCs w:val="15"/>
                <w:color w:val="auto"/>
              </w:rPr>
              <w:t>International Recovery Corp.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r>
      <w:tr>
        <w:trPr>
          <w:trHeight w:val="177"/>
        </w:trPr>
        <w:tc>
          <w:tcPr>
            <w:tcW w:w="280" w:type="dxa"/>
            <w:vAlign w:val="bottom"/>
          </w:tcPr>
          <w:p>
            <w:pPr>
              <w:spacing w:after="0"/>
              <w:rPr>
                <w:sz w:val="20"/>
                <w:szCs w:val="20"/>
                <w:color w:val="auto"/>
              </w:rPr>
            </w:pPr>
            <w:r>
              <w:rPr>
                <w:rFonts w:ascii="Courier New" w:cs="Courier New" w:eastAsia="Courier New" w:hAnsi="Courier New"/>
                <w:sz w:val="15"/>
                <w:szCs w:val="15"/>
                <w:color w:val="auto"/>
              </w:rPr>
              <w:t>D</w:t>
            </w: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The Russell Group Index</w:t>
            </w:r>
          </w:p>
        </w:tc>
        <w:tc>
          <w:tcPr>
            <w:tcW w:w="460" w:type="dxa"/>
            <w:vAlign w:val="bottom"/>
          </w:tcPr>
          <w:p>
            <w:pPr>
              <w:spacing w:after="0"/>
              <w:rPr>
                <w:sz w:val="15"/>
                <w:szCs w:val="15"/>
                <w:color w:val="auto"/>
              </w:rPr>
            </w:pPr>
          </w:p>
        </w:tc>
        <w:tc>
          <w:tcPr>
            <w:tcW w:w="1900" w:type="dxa"/>
            <w:vAlign w:val="bottom"/>
          </w:tcPr>
          <w:p>
            <w:pPr>
              <w:jc w:val="right"/>
              <w:ind w:right="1723"/>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r>
      <w:tr>
        <w:trPr>
          <w:trHeight w:val="177"/>
        </w:trPr>
        <w:tc>
          <w:tcPr>
            <w:tcW w:w="28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24</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4580" w:type="dxa"/>
            <w:vAlign w:val="bottom"/>
            <w:gridSpan w:val="4"/>
          </w:tcPr>
          <w:p>
            <w:pPr>
              <w:spacing w:after="0"/>
              <w:rPr>
                <w:sz w:val="20"/>
                <w:szCs w:val="20"/>
                <w:color w:val="auto"/>
              </w:rPr>
            </w:pPr>
            <w:r>
              <w:rPr>
                <w:rFonts w:ascii="Courier New" w:cs="Courier New" w:eastAsia="Courier New" w:hAnsi="Courier New"/>
                <w:sz w:val="15"/>
                <w:szCs w:val="15"/>
                <w:color w:val="auto"/>
              </w:rPr>
              <w:t>Similar Market Capitalization Group-</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80" w:type="dxa"/>
            <w:vAlign w:val="bottom"/>
          </w:tcPr>
          <w:p>
            <w:pPr>
              <w:spacing w:after="0"/>
              <w:rPr>
                <w:sz w:val="20"/>
                <w:szCs w:val="20"/>
                <w:color w:val="auto"/>
              </w:rPr>
            </w:pPr>
            <w:r>
              <w:rPr>
                <w:rFonts w:ascii="Courier New" w:cs="Courier New" w:eastAsia="Courier New" w:hAnsi="Courier New"/>
                <w:sz w:val="15"/>
                <w:szCs w:val="15"/>
                <w:color w:val="auto"/>
              </w:rPr>
              <w:t>L</w:t>
            </w: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21</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0" w:type="dxa"/>
            <w:vAlign w:val="bottom"/>
            <w:gridSpan w:val="5"/>
          </w:tcPr>
          <w:p>
            <w:pPr>
              <w:ind w:left="2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r>
      <w:tr>
        <w:trPr>
          <w:trHeight w:val="177"/>
        </w:trPr>
        <w:tc>
          <w:tcPr>
            <w:tcW w:w="280" w:type="dxa"/>
            <w:vAlign w:val="bottom"/>
          </w:tcPr>
          <w:p>
            <w:pPr>
              <w:spacing w:after="0"/>
              <w:rPr>
                <w:sz w:val="20"/>
                <w:szCs w:val="20"/>
                <w:color w:val="auto"/>
              </w:rPr>
            </w:pPr>
            <w:r>
              <w:rPr>
                <w:rFonts w:ascii="Courier New" w:cs="Courier New" w:eastAsia="Courier New" w:hAnsi="Courier New"/>
                <w:sz w:val="15"/>
                <w:szCs w:val="15"/>
                <w:color w:val="auto"/>
              </w:rPr>
              <w:t>L</w:t>
            </w: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680" w:type="dxa"/>
            <w:vAlign w:val="bottom"/>
            <w:gridSpan w:val="3"/>
          </w:tcPr>
          <w:p>
            <w:pPr>
              <w:ind w:left="200"/>
              <w:spacing w:after="0"/>
              <w:rPr>
                <w:sz w:val="20"/>
                <w:szCs w:val="20"/>
                <w:color w:val="auto"/>
              </w:rPr>
            </w:pPr>
            <w:r>
              <w:rPr>
                <w:rFonts w:ascii="Courier New" w:cs="Courier New" w:eastAsia="Courier New" w:hAnsi="Courier New"/>
                <w:sz w:val="15"/>
                <w:szCs w:val="15"/>
                <w:color w:val="auto"/>
              </w:rPr>
              <w:t>[INSERT CAMERA READY CHART</w:t>
            </w:r>
          </w:p>
        </w:tc>
        <w:tc>
          <w:tcPr>
            <w:tcW w:w="19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0" w:type="dxa"/>
            <w:vAlign w:val="bottom"/>
            <w:gridSpan w:val="5"/>
          </w:tcPr>
          <w:p>
            <w:pPr>
              <w:ind w:left="2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r>
      <w:tr>
        <w:trPr>
          <w:trHeight w:val="177"/>
        </w:trPr>
        <w:tc>
          <w:tcPr>
            <w:tcW w:w="28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68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IN PLACE OF THIS CHART]</w:t>
            </w:r>
          </w:p>
        </w:tc>
        <w:tc>
          <w:tcPr>
            <w:tcW w:w="19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500" w:type="dxa"/>
            <w:vAlign w:val="bottom"/>
            <w:gridSpan w:val="4"/>
          </w:tcPr>
          <w:p>
            <w:pPr>
              <w:ind w:left="280"/>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280" w:type="dxa"/>
            <w:vAlign w:val="bottom"/>
          </w:tcPr>
          <w:p>
            <w:pPr>
              <w:spacing w:after="0"/>
              <w:rPr>
                <w:sz w:val="20"/>
                <w:szCs w:val="20"/>
                <w:color w:val="auto"/>
              </w:rPr>
            </w:pPr>
            <w:r>
              <w:rPr>
                <w:rFonts w:ascii="Courier New" w:cs="Courier New" w:eastAsia="Courier New" w:hAnsi="Courier New"/>
                <w:sz w:val="15"/>
                <w:szCs w:val="15"/>
                <w:color w:val="auto"/>
              </w:rPr>
              <w:t>R</w:t>
            </w: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8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80" w:type="dxa"/>
            <w:vAlign w:val="bottom"/>
          </w:tcPr>
          <w:p>
            <w:pPr>
              <w:spacing w:after="0"/>
              <w:rPr>
                <w:sz w:val="15"/>
                <w:szCs w:val="15"/>
                <w:color w:val="auto"/>
              </w:rPr>
            </w:pP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80" w:type="dxa"/>
            <w:vAlign w:val="bottom"/>
          </w:tcPr>
          <w:p>
            <w:pPr>
              <w:spacing w:after="0"/>
              <w:rPr>
                <w:sz w:val="15"/>
                <w:szCs w:val="15"/>
                <w:color w:val="auto"/>
              </w:rPr>
            </w:pP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1991</w:t>
            </w:r>
          </w:p>
        </w:tc>
        <w:tc>
          <w:tcPr>
            <w:tcW w:w="940" w:type="dxa"/>
            <w:vAlign w:val="bottom"/>
          </w:tcPr>
          <w:p>
            <w:pPr>
              <w:ind w:left="280"/>
              <w:spacing w:after="0"/>
              <w:rPr>
                <w:sz w:val="20"/>
                <w:szCs w:val="20"/>
                <w:color w:val="auto"/>
              </w:rPr>
            </w:pPr>
            <w:r>
              <w:rPr>
                <w:rFonts w:ascii="Courier New" w:cs="Courier New" w:eastAsia="Courier New" w:hAnsi="Courier New"/>
                <w:sz w:val="15"/>
                <w:szCs w:val="15"/>
                <w:color w:val="auto"/>
              </w:rPr>
              <w:t>1992</w:t>
            </w:r>
          </w:p>
        </w:tc>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1993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c>
          <w:tcPr>
            <w:tcW w:w="190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1995</w:t>
            </w:r>
          </w:p>
        </w:tc>
        <w:tc>
          <w:tcPr>
            <w:tcW w:w="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405"/>
        <w:spacing w:after="0"/>
        <w:tabs>
          <w:tab w:leader="none" w:pos="3305" w:val="left"/>
          <w:tab w:leader="none" w:pos="4225" w:val="left"/>
          <w:tab w:leader="none" w:pos="5045" w:val="left"/>
          <w:tab w:leader="none" w:pos="5885" w:val="left"/>
          <w:tab w:leader="none" w:pos="6725" w:val="left"/>
        </w:tabs>
        <w:rPr>
          <w:sz w:val="20"/>
          <w:szCs w:val="20"/>
          <w:color w:val="auto"/>
        </w:rPr>
      </w:pPr>
      <w:r>
        <w:rPr>
          <w:rFonts w:ascii="Courier New" w:cs="Courier New" w:eastAsia="Courier New" w:hAnsi="Courier New"/>
          <w:sz w:val="15"/>
          <w:szCs w:val="15"/>
          <w:color w:val="auto"/>
        </w:rPr>
        <w:t>3/91</w:t>
      </w:r>
      <w:r>
        <w:rPr>
          <w:sz w:val="20"/>
          <w:szCs w:val="20"/>
          <w:color w:val="auto"/>
        </w:rPr>
        <w:tab/>
      </w:r>
      <w:r>
        <w:rPr>
          <w:rFonts w:ascii="Courier New" w:cs="Courier New" w:eastAsia="Courier New" w:hAnsi="Courier New"/>
          <w:sz w:val="15"/>
          <w:szCs w:val="15"/>
          <w:color w:val="auto"/>
        </w:rPr>
        <w:t>3/92</w:t>
      </w:r>
      <w:r>
        <w:rPr>
          <w:sz w:val="20"/>
          <w:szCs w:val="20"/>
          <w:color w:val="auto"/>
        </w:rPr>
        <w:tab/>
      </w:r>
      <w:r>
        <w:rPr>
          <w:rFonts w:ascii="Courier New" w:cs="Courier New" w:eastAsia="Courier New" w:hAnsi="Courier New"/>
          <w:sz w:val="15"/>
          <w:szCs w:val="15"/>
          <w:color w:val="auto"/>
        </w:rPr>
        <w:t>3/93</w:t>
      </w:r>
      <w:r>
        <w:rPr>
          <w:sz w:val="20"/>
          <w:szCs w:val="20"/>
          <w:color w:val="auto"/>
        </w:rPr>
        <w:tab/>
      </w:r>
      <w:r>
        <w:rPr>
          <w:rFonts w:ascii="Courier New" w:cs="Courier New" w:eastAsia="Courier New" w:hAnsi="Courier New"/>
          <w:sz w:val="15"/>
          <w:szCs w:val="15"/>
          <w:color w:val="auto"/>
        </w:rPr>
        <w:t>3/94</w:t>
      </w:r>
      <w:r>
        <w:rPr>
          <w:sz w:val="20"/>
          <w:szCs w:val="20"/>
          <w:color w:val="auto"/>
        </w:rPr>
        <w:tab/>
      </w:r>
      <w:r>
        <w:rPr>
          <w:rFonts w:ascii="Courier New" w:cs="Courier New" w:eastAsia="Courier New" w:hAnsi="Courier New"/>
          <w:sz w:val="15"/>
          <w:szCs w:val="15"/>
          <w:color w:val="auto"/>
        </w:rPr>
        <w:t>3/95</w:t>
      </w:r>
      <w:r>
        <w:rPr>
          <w:sz w:val="20"/>
          <w:szCs w:val="20"/>
          <w:color w:val="auto"/>
        </w:rPr>
        <w:tab/>
      </w:r>
      <w:r>
        <w:rPr>
          <w:rFonts w:ascii="Courier New" w:cs="Courier New" w:eastAsia="Courier New" w:hAnsi="Courier New"/>
          <w:sz w:val="15"/>
          <w:szCs w:val="15"/>
          <w:color w:val="auto"/>
        </w:rPr>
        <w:t>3/96</w:t>
      </w:r>
    </w:p>
    <w:p>
      <w:pPr>
        <w:spacing w:after="0" w:line="8" w:lineRule="exact"/>
        <w:rPr>
          <w:sz w:val="20"/>
          <w:szCs w:val="20"/>
          <w:color w:val="auto"/>
        </w:rPr>
      </w:pPr>
    </w:p>
    <w:p>
      <w:pPr>
        <w:ind w:left="185" w:hanging="185"/>
        <w:spacing w:after="0"/>
        <w:tabs>
          <w:tab w:leader="none" w:pos="18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World Fuel Services</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1740" w:type="dxa"/>
            <w:vAlign w:val="bottom"/>
          </w:tcPr>
          <w:p>
            <w:pPr>
              <w:spacing w:after="0"/>
              <w:rPr>
                <w:sz w:val="20"/>
                <w:szCs w:val="20"/>
                <w:color w:val="auto"/>
              </w:rPr>
            </w:pPr>
            <w:r>
              <w:rPr>
                <w:rFonts w:ascii="Courier New" w:cs="Courier New" w:eastAsia="Courier New" w:hAnsi="Courier New"/>
                <w:sz w:val="15"/>
                <w:szCs w:val="15"/>
                <w:color w:val="auto"/>
              </w:rPr>
              <w:t>Corporation</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w:t>
            </w:r>
          </w:p>
        </w:tc>
        <w:tc>
          <w:tcPr>
            <w:tcW w:w="9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135</w:t>
            </w: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61</w:t>
            </w:r>
          </w:p>
        </w:tc>
        <w:tc>
          <w:tcPr>
            <w:tcW w:w="8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73</w:t>
            </w:r>
          </w:p>
        </w:tc>
        <w:tc>
          <w:tcPr>
            <w:tcW w:w="7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148</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260" w:type="dxa"/>
            <w:vAlign w:val="bottom"/>
          </w:tcPr>
          <w:p>
            <w:pPr>
              <w:spacing w:after="0"/>
              <w:rPr>
                <w:sz w:val="20"/>
                <w:szCs w:val="20"/>
                <w:color w:val="auto"/>
              </w:rPr>
            </w:pPr>
            <w:r>
              <w:rPr>
                <w:rFonts w:ascii="Courier New" w:cs="Courier New" w:eastAsia="Courier New" w:hAnsi="Courier New"/>
                <w:sz w:val="15"/>
                <w:szCs w:val="15"/>
                <w:color w:val="auto"/>
              </w:rPr>
              <w:t>The Russell 2000 Index</w:t>
            </w:r>
          </w:p>
        </w:tc>
        <w:tc>
          <w:tcPr>
            <w:tcW w:w="7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w:t>
            </w: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121</w:t>
            </w: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139</w:t>
            </w:r>
          </w:p>
        </w:tc>
        <w:tc>
          <w:tcPr>
            <w:tcW w:w="8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154</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163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211</w:t>
            </w:r>
          </w:p>
        </w:tc>
      </w:tr>
    </w:tbl>
    <w:p>
      <w:pPr>
        <w:spacing w:after="0" w:line="5" w:lineRule="exact"/>
        <w:rPr>
          <w:sz w:val="20"/>
          <w:szCs w:val="20"/>
          <w:color w:val="auto"/>
        </w:rPr>
      </w:pPr>
    </w:p>
    <w:p>
      <w:pPr>
        <w:ind w:left="185" w:hanging="185"/>
        <w:spacing w:after="0"/>
        <w:tabs>
          <w:tab w:leader="none" w:pos="18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Standard &amp; Poor's</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160" w:type="dxa"/>
            <w:vAlign w:val="bottom"/>
          </w:tcPr>
          <w:p>
            <w:pPr>
              <w:spacing w:after="0"/>
              <w:rPr>
                <w:sz w:val="20"/>
                <w:szCs w:val="20"/>
                <w:color w:val="auto"/>
              </w:rPr>
            </w:pPr>
            <w:r>
              <w:rPr>
                <w:rFonts w:ascii="Courier New" w:cs="Courier New" w:eastAsia="Courier New" w:hAnsi="Courier New"/>
                <w:sz w:val="15"/>
                <w:szCs w:val="15"/>
                <w:color w:val="auto"/>
              </w:rPr>
              <w:t>Transportation Index</w:t>
            </w: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w:t>
            </w: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132</w:t>
            </w: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149</w:t>
            </w:r>
          </w:p>
        </w:tc>
        <w:tc>
          <w:tcPr>
            <w:tcW w:w="8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158</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163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210</w:t>
            </w:r>
          </w:p>
        </w:tc>
      </w:tr>
    </w:tbl>
    <w:p>
      <w:pPr>
        <w:spacing w:after="0" w:line="5" w:lineRule="exact"/>
        <w:rPr>
          <w:sz w:val="20"/>
          <w:szCs w:val="20"/>
          <w:color w:val="auto"/>
        </w:rPr>
      </w:pPr>
    </w:p>
    <w:p>
      <w:pPr>
        <w:ind w:left="185" w:hanging="185"/>
        <w:spacing w:after="0"/>
        <w:tabs>
          <w:tab w:leader="none" w:pos="18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1995 Similar Market</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160" w:type="dxa"/>
            <w:vAlign w:val="bottom"/>
          </w:tcPr>
          <w:p>
            <w:pPr>
              <w:spacing w:after="0"/>
              <w:rPr>
                <w:sz w:val="20"/>
                <w:szCs w:val="20"/>
                <w:color w:val="auto"/>
              </w:rPr>
            </w:pPr>
            <w:r>
              <w:rPr>
                <w:rFonts w:ascii="Courier New" w:cs="Courier New" w:eastAsia="Courier New" w:hAnsi="Courier New"/>
                <w:sz w:val="15"/>
                <w:szCs w:val="15"/>
                <w:color w:val="auto"/>
              </w:rPr>
              <w:t>Capitalization Group</w:t>
            </w:r>
          </w:p>
        </w:tc>
        <w:tc>
          <w:tcPr>
            <w:tcW w:w="9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95</w:t>
            </w: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114</w:t>
            </w:r>
          </w:p>
        </w:tc>
        <w:tc>
          <w:tcPr>
            <w:tcW w:w="8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127</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189</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465" w:right="2939" w:hanging="465"/>
        <w:spacing w:after="0" w:line="253" w:lineRule="auto"/>
        <w:tabs>
          <w:tab w:leader="none" w:pos="46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the value of the investment in the Company and each index was $100 on March 31, 1991, and that all dividends are reinvested.</w:t>
      </w:r>
    </w:p>
    <w:p>
      <w:pPr>
        <w:spacing w:after="0" w:line="174" w:lineRule="exact"/>
        <w:rPr>
          <w:rFonts w:ascii="Courier New" w:cs="Courier New" w:eastAsia="Courier New" w:hAnsi="Courier New"/>
          <w:sz w:val="15"/>
          <w:szCs w:val="15"/>
          <w:color w:val="auto"/>
        </w:rPr>
      </w:pPr>
    </w:p>
    <w:p>
      <w:pPr>
        <w:ind w:left="465" w:right="3019" w:hanging="465"/>
        <w:spacing w:after="0" w:line="250" w:lineRule="auto"/>
        <w:tabs>
          <w:tab w:leader="none" w:pos="46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1995, in lieu of using the Standard &amp; Poor's Transportation Index, the Company compared its stock performance to a group of issuers which, as of March 31, 1995, had similar market capitalizations to that of the Company. These companies are: Dreco Energy Services, Ltd.; Ethical Holdings, Ltd; Jones Medical Industries, Inc.; Seacoast Banking Corp. of Florida; Treadco, Inc.; Pope Resources Delaware, L.P.; First Knox Banc Corp.; Boston Acoustics, Inc.; Aer Energy Resources, Inc.; and Tasty Baking Company. In future years, the Company intends to compare its stock performance to the Standard &amp; Poor's Transportation Index instead of a group of issuers with similar market capitalizations.</w:t>
      </w:r>
    </w:p>
    <w:p>
      <w:pPr>
        <w:spacing w:after="0" w:line="182"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5"/>
          </w:cols>
          <w:pgMar w:left="235" w:top="828" w:right="1440" w:bottom="1440" w:gutter="0" w:footer="0" w:header="0"/>
        </w:sectPr>
      </w:pPr>
    </w:p>
    <w:bookmarkStart w:id="20" w:name="page21"/>
    <w:bookmarkEnd w:id="20"/>
    <w:p>
      <w:pPr>
        <w:ind w:left="1940"/>
        <w:spacing w:after="0"/>
        <w:rPr>
          <w:sz w:val="20"/>
          <w:szCs w:val="20"/>
          <w:color w:val="auto"/>
        </w:rPr>
      </w:pPr>
      <w:r>
        <w:rPr>
          <w:rFonts w:ascii="Courier New" w:cs="Courier New" w:eastAsia="Courier New" w:hAnsi="Courier New"/>
          <w:sz w:val="15"/>
          <w:szCs w:val="15"/>
          <w:color w:val="auto"/>
        </w:rPr>
        <w:t>TRANSACTIONS WITH MANAGEMENT AND OTHERS</w:t>
      </w:r>
    </w:p>
    <w:p>
      <w:pPr>
        <w:spacing w:after="0" w:line="185" w:lineRule="exact"/>
        <w:rPr>
          <w:sz w:val="20"/>
          <w:szCs w:val="20"/>
          <w:color w:val="auto"/>
        </w:rPr>
      </w:pPr>
    </w:p>
    <w:p>
      <w:pPr>
        <w:ind w:right="2839" w:firstLine="1107"/>
        <w:spacing w:after="0" w:line="250" w:lineRule="auto"/>
        <w:rPr>
          <w:sz w:val="20"/>
          <w:szCs w:val="20"/>
          <w:color w:val="auto"/>
        </w:rPr>
      </w:pPr>
      <w:r>
        <w:rPr>
          <w:rFonts w:ascii="Courier New" w:cs="Courier New" w:eastAsia="Courier New" w:hAnsi="Courier New"/>
          <w:sz w:val="15"/>
          <w:szCs w:val="15"/>
          <w:color w:val="auto"/>
        </w:rPr>
        <w:t>Two of the Company's subsidiaries lease premises in New Orleans, Louisiana and Plant City, Florida from a trust established for the benefit of the children of Jerrold Blair, the President and a Director of the Company. The base annual rent under each lease is $48,120 per year, which amount will increase by 5% annually. The leases expire in August 2001. The Company has an option to purchase the properties at the current market value at any time during the lease term. For purposes of the purchase option, the market value of the land will be determined by independent appraisals to be obtained by the lessor and the Company. Management of the Company believes that the terms of the existing leases are no less favorable to the Company than those which could have been obtained in arm's length transactions.</w:t>
      </w:r>
    </w:p>
    <w:p>
      <w:pPr>
        <w:spacing w:after="0" w:line="182" w:lineRule="exact"/>
        <w:rPr>
          <w:sz w:val="20"/>
          <w:szCs w:val="20"/>
          <w:color w:val="auto"/>
        </w:rPr>
      </w:pPr>
    </w:p>
    <w:p>
      <w:pPr>
        <w:ind w:right="2839" w:firstLine="1107"/>
        <w:spacing w:after="0" w:line="251" w:lineRule="auto"/>
        <w:rPr>
          <w:sz w:val="20"/>
          <w:szCs w:val="20"/>
          <w:color w:val="auto"/>
        </w:rPr>
      </w:pPr>
      <w:r>
        <w:rPr>
          <w:rFonts w:ascii="Courier New" w:cs="Courier New" w:eastAsia="Courier New" w:hAnsi="Courier New"/>
          <w:sz w:val="15"/>
          <w:szCs w:val="15"/>
          <w:color w:val="auto"/>
        </w:rPr>
        <w:t>In January 1995, the Company and its subsidiary, Trans-Tec Delaware, acquired substantially all of the assets and assumed certain liabilities of Trans-Tec New York, and stock and assets of its affiliated companies. At that time, Michael Kasbar and Paul Stebbins were shareholders of Trans-Tec New York and its affiliated companies. Messrs. Kasbar and Stebbins are now employed by Trans- Tec Delaware, and are Directors and Executive Officers of the Company. See "Election of Directors."</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The aggregate purchase price for the Trans-Tec New York acquisition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 approximately $14,511,000 (excluding acquisition costs of $321,000), paid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follows: (i) approximately $4,000,000 was paid in cash; (ii) the Company issued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four promissory notes (the "Notes") to the shareholders of Trans-Tec 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including Messrs. Kasbar and Stebbins, for an aggregate amount of $6,000,000;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(iii) the Company issued shares of its Common Stock valued at $4,511,000.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June 28, 1996 the Company owed Mr. Stebbins and Mr. Kasbar $897,624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$937,080, respectively, under the Notes. The Notes bear interest at nine percent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 year. The Notes are payable in three equal installments of principal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due on January 3 of each year starting January 3, 1996. Of the Common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issued by the Company in the acquisition, Mr. Kasbar received 141,413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and Mr. Stebbins received 136,131 shares. As a condition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 the Company also agreed to: (1) appoint Messrs. Kasbar and Stebbins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serve as Directors of the Company, and (2) appoint Messrs. Kasbar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Stebbins Senior Vice Presidents of the Company in January 1996.</w:t>
      </w:r>
    </w:p>
    <w:p>
      <w:pPr>
        <w:spacing w:after="0" w:line="185" w:lineRule="exact"/>
        <w:rPr>
          <w:sz w:val="20"/>
          <w:szCs w:val="20"/>
          <w:color w:val="auto"/>
        </w:rPr>
      </w:pPr>
    </w:p>
    <w:p>
      <w:pPr>
        <w:ind w:right="2939" w:firstLine="1107"/>
        <w:spacing w:after="0" w:line="250" w:lineRule="auto"/>
        <w:rPr>
          <w:sz w:val="20"/>
          <w:szCs w:val="20"/>
          <w:color w:val="auto"/>
        </w:rPr>
      </w:pPr>
      <w:r>
        <w:rPr>
          <w:rFonts w:ascii="Courier New" w:cs="Courier New" w:eastAsia="Courier New" w:hAnsi="Courier New"/>
          <w:sz w:val="15"/>
          <w:szCs w:val="15"/>
          <w:color w:val="auto"/>
        </w:rPr>
        <w:t>Messrs. Kasbar and Stebbins signed employment agreements with Trans-Tec Delaware under the terms of which each will be employed through 1997, at base salaries of $150,000 for 1995, $175,000 for 1996 and $200,000 for 1997. Each is also entitled to receive an annual bonus equal to 5% of the pre-tax profits of the Company's marine fuel division in excess of $3,500,000 for 1995 and 1996, and $4,000,000 for 1997. In addition, Messrs. Kasbar and Stebbins each received an option to purchase 37,500 shares of the</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828" w:right="1440" w:bottom="1440" w:gutter="0" w:footer="0" w:header="0"/>
        </w:sectPr>
      </w:pPr>
    </w:p>
    <w:bookmarkStart w:id="21" w:name="page22"/>
    <w:bookmarkEnd w:id="21"/>
    <w:p>
      <w:pPr>
        <w:jc w:val="both"/>
        <w:ind w:right="2839"/>
        <w:spacing w:after="0" w:line="251" w:lineRule="auto"/>
        <w:rPr>
          <w:sz w:val="20"/>
          <w:szCs w:val="20"/>
          <w:color w:val="auto"/>
        </w:rPr>
      </w:pPr>
      <w:r>
        <w:rPr>
          <w:rFonts w:ascii="Courier New" w:cs="Courier New" w:eastAsia="Courier New" w:hAnsi="Courier New"/>
          <w:sz w:val="15"/>
          <w:szCs w:val="15"/>
          <w:color w:val="auto"/>
        </w:rPr>
        <w:t>Company's Common Stock, at an exercise price of $10.33 per share. The employment agreements prohibit each of Messrs. Kasbar and Stebbins from competing with the Company during a period of two years following the termination of his employment (for any reason), in the areas where the Company conducts its business.</w:t>
      </w:r>
    </w:p>
    <w:p>
      <w:pPr>
        <w:spacing w:after="0" w:line="354"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COMPANY'S RELATIONSHIP WITH INDEPENDENT PUBLIC ACCOUNTANTS</w:t>
      </w:r>
    </w:p>
    <w:p>
      <w:pPr>
        <w:spacing w:after="0" w:line="185" w:lineRule="exact"/>
        <w:rPr>
          <w:sz w:val="20"/>
          <w:szCs w:val="20"/>
          <w:color w:val="auto"/>
        </w:rPr>
      </w:pPr>
    </w:p>
    <w:p>
      <w:pPr>
        <w:ind w:right="2939" w:firstLine="1107"/>
        <w:spacing w:after="0" w:line="251" w:lineRule="auto"/>
        <w:rPr>
          <w:sz w:val="20"/>
          <w:szCs w:val="20"/>
          <w:color w:val="auto"/>
        </w:rPr>
      </w:pPr>
      <w:r>
        <w:rPr>
          <w:rFonts w:ascii="Courier New" w:cs="Courier New" w:eastAsia="Courier New" w:hAnsi="Courier New"/>
          <w:sz w:val="15"/>
          <w:szCs w:val="15"/>
          <w:color w:val="auto"/>
        </w:rPr>
        <w:t>The accounting firm selected by the Board of Directors of the Company for the fiscal year ending March 31, 1997, is Arthur Andersen LLP. This accounting firm is expected to have a representative present at the Annual Meeting. This representative will be available to answer appropriate questions and will be given an opportunity to make a statement, if he so desires.</w:t>
      </w:r>
    </w:p>
    <w:p>
      <w:pPr>
        <w:spacing w:after="0" w:line="354"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PROPOSALS FOR THE 1997 ANNUAL MEETING</w:t>
      </w:r>
    </w:p>
    <w:p>
      <w:pPr>
        <w:spacing w:after="0" w:line="185" w:lineRule="exact"/>
        <w:rPr>
          <w:sz w:val="20"/>
          <w:szCs w:val="20"/>
          <w:color w:val="auto"/>
        </w:rPr>
      </w:pPr>
    </w:p>
    <w:p>
      <w:pPr>
        <w:ind w:right="2839" w:firstLine="1107"/>
        <w:spacing w:after="0" w:line="251" w:lineRule="auto"/>
        <w:rPr>
          <w:sz w:val="20"/>
          <w:szCs w:val="20"/>
          <w:color w:val="auto"/>
        </w:rPr>
      </w:pPr>
      <w:r>
        <w:rPr>
          <w:rFonts w:ascii="Courier New" w:cs="Courier New" w:eastAsia="Courier New" w:hAnsi="Courier New"/>
          <w:sz w:val="15"/>
          <w:szCs w:val="15"/>
          <w:color w:val="auto"/>
        </w:rPr>
        <w:t>In order to be considered for inclusion in the Proxy Statement for the 1997 Annual Meeting, shareholders' proposals must be received at the principal office of the Company, 700 South Royal Poinciana Blvd., Suite 800, Miami Springs, Florida 33166, Attention: Secretary, no later than March 1, 1997.</w:t>
      </w:r>
    </w:p>
    <w:p>
      <w:pPr>
        <w:spacing w:after="0" w:line="35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OTHER MATTERS</w:t>
      </w:r>
    </w:p>
    <w:p>
      <w:pPr>
        <w:spacing w:after="0" w:line="185" w:lineRule="exact"/>
        <w:rPr>
          <w:sz w:val="20"/>
          <w:szCs w:val="20"/>
          <w:color w:val="auto"/>
        </w:rPr>
      </w:pPr>
    </w:p>
    <w:p>
      <w:pPr>
        <w:ind w:right="3219" w:firstLine="1107"/>
        <w:spacing w:after="0" w:line="251" w:lineRule="auto"/>
        <w:rPr>
          <w:sz w:val="20"/>
          <w:szCs w:val="20"/>
          <w:color w:val="auto"/>
        </w:rPr>
      </w:pPr>
      <w:r>
        <w:rPr>
          <w:rFonts w:ascii="Courier New" w:cs="Courier New" w:eastAsia="Courier New" w:hAnsi="Courier New"/>
          <w:sz w:val="15"/>
          <w:szCs w:val="15"/>
          <w:color w:val="auto"/>
        </w:rPr>
        <w:t>Management is not aware of any other matters to be presented for action at the Annual Meeting. IF, HOWEVER, ANY OTHER MATTERS COME BEFORE THE ANNUAL MEETING, THE PERSONS NAMED AS PROXIES WILL VOTE ON SUCH MATTERS IN ACCORDANCE WITH THEIR BEST JUDGMENT.</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50" w:right="1440" w:bottom="1440" w:gutter="0" w:footer="0" w:header="0"/>
        </w:sectPr>
      </w:pPr>
    </w:p>
    <w:bookmarkStart w:id="22" w:name="page23"/>
    <w:bookmarkEnd w:id="22"/>
    <w:p>
      <w:pPr>
        <w:jc w:val="center"/>
        <w:ind w:right="2759"/>
        <w:spacing w:after="0"/>
        <w:rPr>
          <w:sz w:val="20"/>
          <w:szCs w:val="20"/>
          <w:color w:val="auto"/>
        </w:rPr>
      </w:pPr>
      <w:r>
        <w:rPr>
          <w:rFonts w:ascii="Courier New" w:cs="Courier New" w:eastAsia="Courier New" w:hAnsi="Courier New"/>
          <w:sz w:val="15"/>
          <w:szCs w:val="15"/>
          <w:color w:val="auto"/>
        </w:rPr>
        <w:t>PROXY</w:t>
      </w:r>
    </w:p>
    <w:p>
      <w:pPr>
        <w:spacing w:after="0" w:line="18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Annual Meeting of Shareholders</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of WORLD FUEL SERVICES CORPORATION</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To Be Held On August 19, 1996</w:t>
      </w:r>
    </w:p>
    <w:p>
      <w:pPr>
        <w:spacing w:after="0" w:line="36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undersigned hereby appoints Ralph R. Weiser and Jerrold Blair, and each of them severally, as proxies, each with the power to appoint a substitute, and to vote, as designated on the reverse side, all of the shares of Common Stock of World Fuel Services Corporation held of record on July 18, 1996 by the undersigned at the Annual Meeting of Shareholders to be held on August 19, 1996, or any adjournment or postponement thereof.</w:t>
      </w:r>
    </w:p>
    <w:p>
      <w:pPr>
        <w:spacing w:after="0" w:line="17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(Continued and to be Signed on Reverse Side)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 - - - - - - - - - - - - - - - - - - - - - - - - - - - - - - - - - - - -</w:t>
      </w:r>
    </w:p>
    <w:p>
      <w:pPr>
        <w:sectPr>
          <w:pgSz w:w="11900" w:h="16838" w:orient="portrait"/>
          <w:cols w:equalWidth="0" w:num="1">
            <w:col w:w="10219"/>
          </w:cols>
          <w:pgMar w:left="240" w:top="828"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Proposal 1</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Election of Directors: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5"/>
          <w:szCs w:val="15"/>
          <w:color w:val="auto"/>
        </w:rPr>
        <w:t>[</w:t>
        <w:tab/>
        <w:t>] FOR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5"/>
          <w:szCs w:val="15"/>
          <w:color w:val="auto"/>
        </w:rPr>
        <w:t>[</w:t>
        <w:tab/>
        <w:t>] WITHHOLD</w:t>
      </w:r>
    </w:p>
    <w:p>
      <w:pPr>
        <w:spacing w:after="0" w:line="185" w:lineRule="exact"/>
        <w:rPr>
          <w:sz w:val="20"/>
          <w:szCs w:val="20"/>
          <w:color w:val="auto"/>
        </w:rPr>
      </w:pPr>
    </w:p>
    <w:p>
      <w:pPr>
        <w:sectPr>
          <w:pgSz w:w="11900" w:h="16838" w:orient="portrait"/>
          <w:cols w:equalWidth="0" w:num="4">
            <w:col w:w="1020" w:space="720"/>
            <w:col w:w="2040" w:space="180"/>
            <w:col w:w="740" w:space="280"/>
            <w:col w:w="5239"/>
          </w:cols>
          <w:pgMar w:left="240" w:top="828"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5"/>
          <w:szCs w:val="15"/>
          <w:color w:val="auto"/>
        </w:rPr>
        <w:t>Nominees: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Ralph R. Weiser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Jerrold Blair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Celestin A. Durand, III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Ralph R. Feuerring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R. Benbow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Phillip S. Bradley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Myles Klein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J. Kasbar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Paul H. Stebbins</w:t>
      </w:r>
    </w:p>
    <w:p>
      <w:pPr>
        <w:spacing w:after="0" w:line="185" w:lineRule="exact"/>
        <w:rPr>
          <w:sz w:val="20"/>
          <w:szCs w:val="20"/>
          <w:color w:val="auto"/>
        </w:rPr>
      </w:pPr>
    </w:p>
    <w:p>
      <w:pPr>
        <w:sectPr>
          <w:pgSz w:w="11900" w:h="16838" w:orient="portrait"/>
          <w:cols w:equalWidth="0" w:num="2">
            <w:col w:w="2580" w:space="560"/>
            <w:col w:w="7079"/>
          </w:cols>
          <w:pgMar w:left="240" w:top="82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Instruction: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To withhold authority to vote for an individual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 strike a line through the nominee's name</w:t>
      </w:r>
    </w:p>
    <w:p>
      <w:pPr>
        <w:spacing w:after="0" w:line="8"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5"/>
          <w:szCs w:val="15"/>
          <w:color w:val="auto"/>
        </w:rPr>
        <w:t>in the list above.</w:t>
        <w:tab/>
        <w:t>IF AUTHORITY IS NOT SO WITHHELD,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PROXY WILL BE VOTED TO ELECT ALL NOMINEES.</w:t>
      </w:r>
    </w:p>
    <w:p>
      <w:pPr>
        <w:spacing w:after="0" w:line="185" w:lineRule="exact"/>
        <w:rPr>
          <w:sz w:val="20"/>
          <w:szCs w:val="20"/>
          <w:color w:val="auto"/>
        </w:rPr>
      </w:pPr>
    </w:p>
    <w:p>
      <w:pPr>
        <w:sectPr>
          <w:pgSz w:w="11900" w:h="16838" w:orient="portrait"/>
          <w:cols w:equalWidth="0" w:num="2">
            <w:col w:w="1100" w:space="640"/>
            <w:col w:w="8479"/>
          </w:cols>
          <w:pgMar w:left="240" w:top="828" w:right="1440" w:bottom="1440" w:gutter="0" w:footer="0" w:header="0"/>
          <w:type w:val="continuous"/>
        </w:sectPr>
      </w:pPr>
    </w:p>
    <w:p>
      <w:pPr>
        <w:jc w:val="both"/>
        <w:ind w:right="2839"/>
        <w:spacing w:after="0" w:line="252"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SHAREHOLDER. IF NO DIRECTION IS MADE, THE PROXY WILL BE VOTED FOR ALL NOMINEES.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have enclosed an envelope for your convenience in returning your proxy.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SIGNATURE__________________DATE___________SIGNATURE________________DATE_______</w:t>
      </w:r>
    </w:p>
    <w:p>
      <w:pPr>
        <w:sectPr>
          <w:pgSz w:w="11900" w:h="16838" w:orient="portrait"/>
          <w:cols w:equalWidth="0" w:num="1">
            <w:col w:w="10219"/>
          </w:cols>
          <w:pgMar w:left="240" w:top="828" w:right="1440"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Please sign name(s) exactly as shown above. When signing as executor, administrator, trustee or guardian, give the title as such. When shares have been issued in names of two or more persons all should sign.</w:t>
      </w:r>
    </w:p>
    <w:p>
      <w:pPr>
        <w:spacing w:after="0" w:line="176" w:lineRule="exact"/>
        <w:rPr>
          <w:sz w:val="20"/>
          <w:szCs w:val="20"/>
          <w:color w:val="auto"/>
        </w:rPr>
      </w:pPr>
    </w:p>
    <w:p>
      <w:pPr>
        <w:sectPr>
          <w:pgSz w:w="11900" w:h="16838" w:orient="portrait"/>
          <w:cols w:equalWidth="0" w:num="2">
            <w:col w:w="460" w:space="640"/>
            <w:col w:w="9119"/>
          </w:cols>
          <w:pgMar w:left="240" w:top="828" w:right="1440" w:bottom="1440" w:gutter="0" w:footer="0" w:header="0"/>
          <w:type w:val="continuous"/>
        </w:sectPr>
      </w:pPr>
    </w:p>
    <w:p>
      <w:pPr>
        <w:ind w:left="3500"/>
        <w:spacing w:after="0"/>
        <w:rPr>
          <w:sz w:val="20"/>
          <w:szCs w:val="20"/>
          <w:color w:val="auto"/>
        </w:rPr>
      </w:pPr>
      <w:r>
        <w:rPr>
          <w:rFonts w:ascii="Courier New" w:cs="Courier New" w:eastAsia="Courier New" w:hAnsi="Courier New"/>
          <w:sz w:val="14"/>
          <w:szCs w:val="14"/>
          <w:color w:val="auto"/>
        </w:rPr>
        <w:t>-20-</w:t>
      </w:r>
    </w:p>
    <w:sectPr>
      <w:pgSz w:w="11900" w:h="16838" w:orient="portrait"/>
      <w:cols w:equalWidth="0" w:num="1">
        <w:col w:w="10219"/>
      </w:cols>
      <w:pgMar w:left="240" w:top="82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lvl w:ilvl="1">
      <w:lvlJc w:val="left"/>
      <w:lvlText w:val="%2)"/>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3"/>
    </w:lvl>
  </w:abstractNum>
  <w:abstractNum w:abstractNumId="12">
    <w:nsid w:val="6B68079A"/>
    <w:multiLevelType w:val="hybridMultilevel"/>
    <w:lvl w:ilvl="0">
      <w:lvlJc w:val="left"/>
      <w:lvlText w:val="(%1)"/>
      <w:numFmt w:val="lowerRoman"/>
      <w:start w:val="1"/>
    </w:lvl>
  </w:abstractNum>
  <w:abstractNum w:abstractNumId="13">
    <w:nsid w:val="4E6AFB66"/>
    <w:multiLevelType w:val="hybridMultilevel"/>
    <w:lvl w:ilvl="0">
      <w:lvlJc w:val="left"/>
      <w:lvlText w:val="-"/>
      <w:numFmt w:val="bullet"/>
      <w:start w:val="1"/>
    </w:lvl>
    <w:lvl w:ilvl="1">
      <w:lvlJc w:val="left"/>
      <w:lvlText w:val="(%2)"/>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2019-12-13T16:02:48Z</dcterms:created>
  <dcterms:modified xsi:type="dcterms:W3CDTF">2019-12-13T16:02:48Z</dcterms:modified>
</cp:coreProperties>
</file>