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right="80" w:hanging="552"/>
        <w:spacing w:after="0" w:line="237"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2002</w:t>
      </w:r>
    </w:p>
    <w:p>
      <w:pPr>
        <w:spacing w:after="0" w:line="145" w:lineRule="exact"/>
        <w:rPr>
          <w:sz w:val="24"/>
          <w:szCs w:val="24"/>
          <w:color w:val="auto"/>
        </w:rPr>
      </w:pPr>
    </w:p>
    <w:p>
      <w:pPr>
        <w:ind w:left="560" w:right="6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580"/>
        <w:spacing w:after="0"/>
        <w:tabs>
          <w:tab w:leader="none" w:pos="4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1765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13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1440"/>
        <w:spacing w:after="0"/>
        <w:rPr>
          <w:sz w:val="20"/>
          <w:szCs w:val="20"/>
          <w:color w:val="auto"/>
        </w:rPr>
      </w:pPr>
      <w:r>
        <w:rPr>
          <w:rFonts w:ascii="Arial" w:cs="Arial" w:eastAsia="Arial" w:hAnsi="Arial"/>
          <w:sz w:val="43"/>
          <w:szCs w:val="43"/>
          <w:b w:val="1"/>
          <w:bCs w:val="1"/>
          <w:color w:val="auto"/>
        </w:rPr>
        <w:t>WORLD FUEL SERVICES CORPORATION</w:t>
      </w:r>
    </w:p>
    <w:p>
      <w:pPr>
        <w:spacing w:after="0" w:line="50" w:lineRule="exact"/>
        <w:rPr>
          <w:sz w:val="24"/>
          <w:szCs w:val="24"/>
          <w:color w:val="auto"/>
        </w:rPr>
      </w:pPr>
    </w:p>
    <w:tbl>
      <w:tblPr>
        <w:tblLayout w:type="fixed"/>
        <w:tblInd w:w="1160" w:type="dxa"/>
        <w:tblCellMar>
          <w:top w:w="0" w:type="dxa"/>
          <w:left w:w="0" w:type="dxa"/>
          <w:bottom w:w="0" w:type="dxa"/>
          <w:right w:w="0" w:type="dxa"/>
        </w:tblCellMar>
      </w:tblPr>
      <w:tr>
        <w:trPr>
          <w:trHeight w:val="174"/>
        </w:trPr>
        <w:tc>
          <w:tcPr>
            <w:tcW w:w="6500" w:type="dxa"/>
            <w:vAlign w:val="bottom"/>
          </w:tcPr>
          <w:p>
            <w:pPr>
              <w:ind w:left="3060"/>
              <w:spacing w:after="0"/>
              <w:rPr>
                <w:sz w:val="20"/>
                <w:szCs w:val="20"/>
                <w:color w:val="auto"/>
              </w:rPr>
            </w:pPr>
            <w:r>
              <w:rPr>
                <w:rFonts w:ascii="Arial" w:cs="Arial" w:eastAsia="Arial" w:hAnsi="Arial"/>
                <w:sz w:val="14"/>
                <w:szCs w:val="14"/>
                <w:b w:val="1"/>
                <w:bCs w:val="1"/>
                <w:color w:val="auto"/>
                <w:w w:val="99"/>
              </w:rPr>
              <w:t>(Exact name of registrant as specified in its charter)</w:t>
            </w:r>
          </w:p>
        </w:tc>
        <w:tc>
          <w:tcPr>
            <w:tcW w:w="1520" w:type="dxa"/>
            <w:vAlign w:val="bottom"/>
          </w:tcPr>
          <w:p>
            <w:pPr>
              <w:spacing w:after="0"/>
              <w:rPr>
                <w:sz w:val="15"/>
                <w:szCs w:val="15"/>
                <w:color w:val="auto"/>
              </w:rPr>
            </w:pPr>
          </w:p>
        </w:tc>
      </w:tr>
      <w:tr>
        <w:trPr>
          <w:trHeight w:val="325"/>
        </w:trPr>
        <w:tc>
          <w:tcPr>
            <w:tcW w:w="6500" w:type="dxa"/>
            <w:vAlign w:val="bottom"/>
          </w:tcPr>
          <w:p>
            <w:pPr>
              <w:jc w:val="center"/>
              <w:ind w:right="3204"/>
              <w:spacing w:after="0"/>
              <w:rPr>
                <w:sz w:val="20"/>
                <w:szCs w:val="20"/>
                <w:color w:val="auto"/>
              </w:rPr>
            </w:pPr>
            <w:r>
              <w:rPr>
                <w:rFonts w:ascii="Arial" w:cs="Arial" w:eastAsia="Arial" w:hAnsi="Arial"/>
                <w:sz w:val="18"/>
                <w:szCs w:val="18"/>
                <w:b w:val="1"/>
                <w:bCs w:val="1"/>
                <w:color w:val="auto"/>
                <w:w w:val="89"/>
              </w:rPr>
              <w:t>Florida</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59-2459427</w:t>
            </w:r>
          </w:p>
        </w:tc>
      </w:tr>
      <w:tr>
        <w:trPr>
          <w:trHeight w:val="149"/>
        </w:trPr>
        <w:tc>
          <w:tcPr>
            <w:tcW w:w="6500" w:type="dxa"/>
            <w:vAlign w:val="bottom"/>
          </w:tcPr>
          <w:p>
            <w:pPr>
              <w:jc w:val="center"/>
              <w:ind w:right="320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500" w:type="dxa"/>
            <w:vAlign w:val="bottom"/>
          </w:tcPr>
          <w:p>
            <w:pPr>
              <w:jc w:val="center"/>
              <w:ind w:right="3204"/>
              <w:spacing w:after="0"/>
              <w:rPr>
                <w:sz w:val="20"/>
                <w:szCs w:val="20"/>
                <w:color w:val="auto"/>
              </w:rPr>
            </w:pPr>
            <w:r>
              <w:rPr>
                <w:rFonts w:ascii="Arial" w:cs="Arial" w:eastAsia="Arial" w:hAnsi="Arial"/>
                <w:sz w:val="14"/>
                <w:szCs w:val="14"/>
                <w:b w:val="1"/>
                <w:bCs w:val="1"/>
                <w:color w:val="auto"/>
                <w:w w:val="89"/>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6500" w:type="dxa"/>
            <w:vAlign w:val="bottom"/>
          </w:tcPr>
          <w:p>
            <w:pPr>
              <w:jc w:val="center"/>
              <w:ind w:right="3204"/>
              <w:spacing w:after="0"/>
              <w:rPr>
                <w:sz w:val="20"/>
                <w:szCs w:val="20"/>
                <w:color w:val="auto"/>
              </w:rPr>
            </w:pPr>
            <w:r>
              <w:rPr>
                <w:rFonts w:ascii="Arial" w:cs="Arial" w:eastAsia="Arial" w:hAnsi="Arial"/>
                <w:sz w:val="18"/>
                <w:szCs w:val="18"/>
                <w:b w:val="1"/>
                <w:bCs w:val="1"/>
                <w:color w:val="auto"/>
                <w:w w:val="87"/>
              </w:rPr>
              <w:t>700 South Royal Poinciana Blvd., Suite 800</w:t>
            </w:r>
          </w:p>
        </w:tc>
        <w:tc>
          <w:tcPr>
            <w:tcW w:w="1520" w:type="dxa"/>
            <w:vAlign w:val="bottom"/>
          </w:tcPr>
          <w:p>
            <w:pPr>
              <w:spacing w:after="0"/>
              <w:rPr>
                <w:sz w:val="24"/>
                <w:szCs w:val="24"/>
                <w:color w:val="auto"/>
              </w:rPr>
            </w:pPr>
          </w:p>
        </w:tc>
      </w:tr>
      <w:tr>
        <w:trPr>
          <w:trHeight w:val="218"/>
        </w:trPr>
        <w:tc>
          <w:tcPr>
            <w:tcW w:w="6500" w:type="dxa"/>
            <w:vAlign w:val="bottom"/>
          </w:tcPr>
          <w:p>
            <w:pPr>
              <w:jc w:val="center"/>
              <w:ind w:right="3204"/>
              <w:spacing w:after="0"/>
              <w:rPr>
                <w:sz w:val="20"/>
                <w:szCs w:val="20"/>
                <w:color w:val="auto"/>
              </w:rPr>
            </w:pPr>
            <w:r>
              <w:rPr>
                <w:rFonts w:ascii="Arial" w:cs="Arial" w:eastAsia="Arial" w:hAnsi="Arial"/>
                <w:sz w:val="18"/>
                <w:szCs w:val="18"/>
                <w:b w:val="1"/>
                <w:bCs w:val="1"/>
                <w:color w:val="auto"/>
                <w:w w:val="92"/>
              </w:rPr>
              <w:t>Miami Springs, Florida</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33166</w:t>
            </w:r>
          </w:p>
        </w:tc>
      </w:tr>
      <w:tr>
        <w:trPr>
          <w:trHeight w:val="174"/>
        </w:trPr>
        <w:tc>
          <w:tcPr>
            <w:tcW w:w="6500" w:type="dxa"/>
            <w:vAlign w:val="bottom"/>
          </w:tcPr>
          <w:p>
            <w:pPr>
              <w:jc w:val="center"/>
              <w:ind w:right="32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including area code: (305) 884-2001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registrant had a total of 10.7 million shares of common stock, par value $0.01 per share, net of treasury stock, outstanding as of November 4,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0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380" w:type="dxa"/>
            <w:vAlign w:val="bottom"/>
            <w:gridSpan w:val="13"/>
            <w:vMerge w:val="restart"/>
          </w:tcPr>
          <w:p>
            <w:pPr>
              <w:jc w:val="center"/>
              <w:ind w:right="410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80" w:type="dxa"/>
            <w:vAlign w:val="bottom"/>
            <w:gridSpan w:val="13"/>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1"/>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General</w:t>
              </w:r>
            </w:hyperlink>
          </w:p>
        </w:tc>
        <w:tc>
          <w:tcPr>
            <w:tcW w:w="896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2002 (Unaudited) and March 31, 2002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Income (Unaudited) for the three and six months ended September 30, 2002 and 2001</w:t>
              </w:r>
            </w:hyperlink>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4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(Unaudited) for the six months ended September 30, 2002 and 2001</w:t>
              </w:r>
            </w:hyperlink>
          </w:p>
        </w:tc>
        <w:tc>
          <w:tcPr>
            <w:tcW w:w="10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2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1"/>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14">
              <w:r>
                <w:rPr>
                  <w:rFonts w:ascii="Arial" w:cs="Arial" w:eastAsia="Arial" w:hAnsi="Arial"/>
                  <w:sz w:val="18"/>
                  <w:szCs w:val="18"/>
                  <w:color w:val="0000EE"/>
                  <w:w w:val="84"/>
                </w:rPr>
                <w:t>Reportable Segments</w:t>
              </w:r>
            </w:hyperlink>
          </w:p>
        </w:tc>
        <w:tc>
          <w:tcPr>
            <w:tcW w:w="802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Critical Accounting Policies and Estimates</w:t>
              </w:r>
            </w:hyperlink>
          </w:p>
        </w:tc>
        <w:tc>
          <w:tcPr>
            <w:tcW w:w="65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Results of Operations</w:t>
              </w:r>
            </w:hyperlink>
          </w:p>
        </w:tc>
        <w:tc>
          <w:tcPr>
            <w:tcW w:w="80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Liquidity and Capital Resources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Contractual Obligations, Commercial Commitments and Off-Balance Sheet Arrangements</w:t>
              </w:r>
            </w:hyperlink>
          </w:p>
        </w:tc>
        <w:tc>
          <w:tcPr>
            <w:tcW w:w="31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72"/>
        </w:trPr>
        <w:tc>
          <w:tcPr>
            <w:tcW w:w="12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0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QUANTITATIVE AND QUALITATIVE DISCLOSURES ABOUT MARKET RISK</w:t>
              </w:r>
            </w:hyperlink>
          </w:p>
        </w:tc>
        <w:tc>
          <w:tcPr>
            <w:tcW w:w="39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72"/>
        </w:trPr>
        <w:tc>
          <w:tcPr>
            <w:tcW w:w="12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gridSpan w:val="12"/>
          </w:tcPr>
          <w:p>
            <w:pPr>
              <w:jc w:val="center"/>
              <w:ind w:right="422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LEGAL PROCEEDINGS</w:t>
              </w:r>
            </w:hyperlink>
          </w:p>
        </w:tc>
        <w:tc>
          <w:tcPr>
            <w:tcW w:w="808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72"/>
        </w:trPr>
        <w:tc>
          <w:tcPr>
            <w:tcW w:w="12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1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CHANGES IN SECURITIES AND USE OF PROCEEDS</w:t>
              </w:r>
            </w:hyperlink>
          </w:p>
        </w:tc>
        <w:tc>
          <w:tcPr>
            <w:tcW w:w="58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72"/>
        </w:trPr>
        <w:tc>
          <w:tcPr>
            <w:tcW w:w="12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31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DEFAULTS UPON SENIOR SECURITIES</w:t>
              </w:r>
            </w:hyperlink>
          </w:p>
        </w:tc>
        <w:tc>
          <w:tcPr>
            <w:tcW w:w="68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72"/>
        </w:trPr>
        <w:tc>
          <w:tcPr>
            <w:tcW w:w="12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72"/>
        </w:trPr>
        <w:tc>
          <w:tcPr>
            <w:tcW w:w="12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5160" w:type="dxa"/>
            <w:vAlign w:val="bottom"/>
            <w:tcBorders>
              <w:top w:val="single" w:sz="8" w:color="0000EE"/>
            </w:tcBorders>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4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67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 AND REPORTS ON FORM 8-K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740" w:type="dxa"/>
            <w:vAlign w:val="bottom"/>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12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following unaudited, condensed consolidated financial statements of World Fuel Services Corporation and Subsidiaries have been prepared in accordance with the instructions to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for the interim periods reported have been made. Results of operations for the three and six months ended September 30, 2002, will not be necessarily indicative of the results for the entire fiscal year. The condensed consolidated financial statements and notes thereto included in this Form 10-Q should be read in conjunction with the audited consolidated financial statements and notes thereto included in the Annual Report on Form 10-K (“10-K Report”) for the year ended March 31, 2002. World Fuel Services Corporation and Subsidiaries are collectively referred to in this Form 10-Q as “we,” “our” and “us.” Certain amounts in prior periods have been reclassified to conform to the current period presentation.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and Section 21E of the Securities Exchange Act of 1934. We intend the forward-looking statements to be covered by the safe harbor provisions for forward-looking statements in these sections. All statements regarding our expected financial position and operating results, our business strategy, our financing plans and forecasted demographic and economic trends relating to our industry are forward-looking statements. These statements can sometimes be identified by our use of forward-looking words such as “may,” “will,” “anticipate,” “estimate,” “expect,” or “intend” and similar expressions. These statements involve known and unknown risks, uncertainties and other factors that may cause our actual results, performance or achievements to be materially different from the results, performance or achievements expressed or implied by the forward-looking statements. We cannot promise you that our expectations in such forward-looking statements will turn out to be correct. Factors that impact such forward looking statements include, but are not limited to, quarterly fluctuations in results; the management of growth; fluctuations in world oil prices or foreign currency; changes in political, economic, regulatory or environmental conditions; the loss of key customers, suppliers or members of senior management; uninsured losses; competition; credit risk associated with accounts and notes receivable; and other risks detailed in this report and in our other Securities and Exchange Commission filings. A more detailed description of the principal risks in our business is set forth in “Risk Factors” in our 10-K Report for the year ended March 31, 2002. We undertake no obligation to update or revise publicly any forward-looking statements, whether as a result of new information, future events, or otherwise.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March 31,</w:t>
            </w:r>
          </w:p>
        </w:tc>
      </w:tr>
      <w:tr>
        <w:trPr>
          <w:trHeight w:val="174"/>
        </w:trPr>
        <w:tc>
          <w:tcPr>
            <w:tcW w:w="94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3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4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440" w:type="dxa"/>
            <w:vAlign w:val="bottom"/>
          </w:tcPr>
          <w:p>
            <w:pPr>
              <w:spacing w:after="0"/>
              <w:rPr>
                <w:sz w:val="21"/>
                <w:szCs w:val="21"/>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44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58,172</w:t>
            </w:r>
          </w:p>
        </w:tc>
        <w:tc>
          <w:tcPr>
            <w:tcW w:w="60" w:type="dxa"/>
            <w:vAlign w:val="bottom"/>
            <w:shd w:val="clear" w:color="auto" w:fill="CCEEFF"/>
          </w:tcPr>
          <w:p>
            <w:pPr>
              <w:spacing w:after="0"/>
              <w:rPr>
                <w:sz w:val="18"/>
                <w:szCs w:val="18"/>
                <w:color w:val="auto"/>
              </w:rPr>
            </w:pPr>
          </w:p>
        </w:tc>
      </w:tr>
      <w:tr>
        <w:trPr>
          <w:trHeight w:val="208"/>
        </w:trPr>
        <w:tc>
          <w:tcPr>
            <w:tcW w:w="9440" w:type="dxa"/>
            <w:vAlign w:val="bottom"/>
          </w:tcPr>
          <w:p>
            <w:pPr>
              <w:ind w:left="380"/>
              <w:spacing w:after="0"/>
              <w:rPr>
                <w:sz w:val="20"/>
                <w:szCs w:val="20"/>
                <w:color w:val="auto"/>
              </w:rPr>
            </w:pPr>
            <w:r>
              <w:rPr>
                <w:rFonts w:ascii="Arial" w:cs="Arial" w:eastAsia="Arial" w:hAnsi="Arial"/>
                <w:sz w:val="18"/>
                <w:szCs w:val="18"/>
                <w:color w:val="auto"/>
                <w:w w:val="95"/>
              </w:rPr>
              <w:t>Accounts and notes receivable, net of allowance for bad debts of $11,155 and $11,012 at September 30 and March 31,</w:t>
            </w:r>
          </w:p>
        </w:tc>
        <w:tc>
          <w:tcPr>
            <w:tcW w:w="11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440" w:type="dxa"/>
            <w:vAlign w:val="bottom"/>
          </w:tcPr>
          <w:p>
            <w:pPr>
              <w:ind w:left="560"/>
              <w:spacing w:after="0"/>
              <w:rPr>
                <w:sz w:val="20"/>
                <w:szCs w:val="20"/>
                <w:color w:val="auto"/>
              </w:rPr>
            </w:pPr>
            <w:r>
              <w:rPr>
                <w:rFonts w:ascii="Arial" w:cs="Arial" w:eastAsia="Arial" w:hAnsi="Arial"/>
                <w:sz w:val="18"/>
                <w:szCs w:val="18"/>
                <w:color w:val="auto"/>
              </w:rPr>
              <w:t>2002, respectively</w:t>
            </w:r>
          </w:p>
        </w:tc>
        <w:tc>
          <w:tcPr>
            <w:tcW w:w="11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168,905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132,586</w:t>
            </w:r>
          </w:p>
        </w:tc>
        <w:tc>
          <w:tcPr>
            <w:tcW w:w="60" w:type="dxa"/>
            <w:vAlign w:val="bottom"/>
          </w:tcPr>
          <w:p>
            <w:pPr>
              <w:spacing w:after="0"/>
              <w:rPr>
                <w:sz w:val="19"/>
                <w:szCs w:val="19"/>
                <w:color w:val="auto"/>
              </w:rPr>
            </w:pPr>
          </w:p>
        </w:tc>
      </w:tr>
      <w:tr>
        <w:trPr>
          <w:trHeight w:val="217"/>
        </w:trPr>
        <w:tc>
          <w:tcPr>
            <w:tcW w:w="9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60" w:type="dxa"/>
            <w:vAlign w:val="bottom"/>
            <w:shd w:val="clear" w:color="auto" w:fill="CCEEFF"/>
          </w:tcPr>
          <w:p>
            <w:pPr>
              <w:spacing w:after="0"/>
              <w:rPr>
                <w:sz w:val="18"/>
                <w:szCs w:val="18"/>
                <w:color w:val="auto"/>
              </w:rPr>
            </w:pPr>
          </w:p>
        </w:tc>
      </w:tr>
      <w:tr>
        <w:trPr>
          <w:trHeight w:val="222"/>
        </w:trPr>
        <w:tc>
          <w:tcPr>
            <w:tcW w:w="94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22,310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20,162</w:t>
            </w:r>
          </w:p>
        </w:tc>
        <w:tc>
          <w:tcPr>
            <w:tcW w:w="60" w:type="dxa"/>
            <w:vAlign w:val="bottom"/>
          </w:tcPr>
          <w:p>
            <w:pPr>
              <w:spacing w:after="0"/>
              <w:rPr>
                <w:sz w:val="19"/>
                <w:szCs w:val="19"/>
                <w:color w:val="auto"/>
              </w:rPr>
            </w:pPr>
          </w:p>
        </w:tc>
      </w:tr>
      <w:tr>
        <w:trPr>
          <w:trHeight w:val="102"/>
        </w:trPr>
        <w:tc>
          <w:tcPr>
            <w:tcW w:w="94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213,139</w:t>
            </w: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1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5,351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5,618</w:t>
            </w: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ind w:left="380"/>
              <w:spacing w:after="0"/>
              <w:rPr>
                <w:sz w:val="20"/>
                <w:szCs w:val="20"/>
                <w:color w:val="auto"/>
              </w:rPr>
            </w:pPr>
            <w:r>
              <w:rPr>
                <w:rFonts w:ascii="Arial" w:cs="Arial" w:eastAsia="Arial" w:hAnsi="Arial"/>
                <w:sz w:val="18"/>
                <w:szCs w:val="18"/>
                <w:color w:val="auto"/>
              </w:rPr>
              <w:t>Goodwill, net</w:t>
            </w:r>
          </w:p>
        </w:tc>
        <w:tc>
          <w:tcPr>
            <w:tcW w:w="11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34,003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34,003</w:t>
            </w: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Identifiable intangible asset, net</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60" w:type="dxa"/>
            <w:vAlign w:val="bottom"/>
            <w:shd w:val="clear" w:color="auto" w:fill="CCEEFF"/>
          </w:tcPr>
          <w:p>
            <w:pPr>
              <w:spacing w:after="0"/>
              <w:rPr>
                <w:sz w:val="18"/>
                <w:szCs w:val="18"/>
                <w:color w:val="auto"/>
              </w:rPr>
            </w:pPr>
          </w:p>
        </w:tc>
      </w:tr>
      <w:tr>
        <w:trPr>
          <w:trHeight w:val="222"/>
        </w:trPr>
        <w:tc>
          <w:tcPr>
            <w:tcW w:w="9440" w:type="dxa"/>
            <w:vAlign w:val="bottom"/>
          </w:tcPr>
          <w:p>
            <w:pPr>
              <w:ind w:left="38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4,489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3,415</w:t>
            </w:r>
          </w:p>
        </w:tc>
        <w:tc>
          <w:tcPr>
            <w:tcW w:w="60" w:type="dxa"/>
            <w:vAlign w:val="bottom"/>
          </w:tcPr>
          <w:p>
            <w:pPr>
              <w:spacing w:after="0"/>
              <w:rPr>
                <w:sz w:val="19"/>
                <w:szCs w:val="19"/>
                <w:color w:val="auto"/>
              </w:rPr>
            </w:pPr>
          </w:p>
        </w:tc>
      </w:tr>
      <w:tr>
        <w:trPr>
          <w:trHeight w:val="102"/>
        </w:trPr>
        <w:tc>
          <w:tcPr>
            <w:tcW w:w="94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257,923</w:t>
            </w:r>
          </w:p>
        </w:tc>
        <w:tc>
          <w:tcPr>
            <w:tcW w:w="60" w:type="dxa"/>
            <w:vAlign w:val="bottom"/>
            <w:shd w:val="clear" w:color="auto" w:fill="CCEEFF"/>
          </w:tcPr>
          <w:p>
            <w:pPr>
              <w:spacing w:after="0"/>
              <w:rPr>
                <w:sz w:val="18"/>
                <w:szCs w:val="18"/>
                <w:color w:val="auto"/>
              </w:rPr>
            </w:pPr>
          </w:p>
        </w:tc>
      </w:tr>
      <w:tr>
        <w:trPr>
          <w:trHeight w:val="132"/>
        </w:trPr>
        <w:tc>
          <w:tcPr>
            <w:tcW w:w="94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4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44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LIABILITIES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110,562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82,904</w:t>
            </w: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60" w:type="dxa"/>
            <w:vAlign w:val="bottom"/>
            <w:shd w:val="clear" w:color="auto" w:fill="CCEEFF"/>
          </w:tcPr>
          <w:p>
            <w:pPr>
              <w:spacing w:after="0"/>
              <w:rPr>
                <w:sz w:val="18"/>
                <w:szCs w:val="18"/>
                <w:color w:val="auto"/>
              </w:rPr>
            </w:pPr>
          </w:p>
        </w:tc>
      </w:tr>
      <w:tr>
        <w:trPr>
          <w:trHeight w:val="222"/>
        </w:trPr>
        <w:tc>
          <w:tcPr>
            <w:tcW w:w="94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1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11,135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14,431</w:t>
            </w:r>
          </w:p>
        </w:tc>
        <w:tc>
          <w:tcPr>
            <w:tcW w:w="60" w:type="dxa"/>
            <w:vAlign w:val="bottom"/>
          </w:tcPr>
          <w:p>
            <w:pPr>
              <w:spacing w:after="0"/>
              <w:rPr>
                <w:sz w:val="19"/>
                <w:szCs w:val="19"/>
                <w:color w:val="auto"/>
              </w:rPr>
            </w:pPr>
          </w:p>
        </w:tc>
      </w:tr>
      <w:tr>
        <w:trPr>
          <w:trHeight w:val="102"/>
        </w:trPr>
        <w:tc>
          <w:tcPr>
            <w:tcW w:w="94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133,851</w:t>
            </w:r>
          </w:p>
        </w:tc>
        <w:tc>
          <w:tcPr>
            <w:tcW w:w="60" w:type="dxa"/>
            <w:vAlign w:val="bottom"/>
            <w:shd w:val="clear" w:color="auto" w:fill="CCEEFF"/>
          </w:tcPr>
          <w:p>
            <w:pPr>
              <w:spacing w:after="0"/>
              <w:rPr>
                <w:sz w:val="18"/>
                <w:szCs w:val="18"/>
                <w:color w:val="auto"/>
              </w:rPr>
            </w:pPr>
          </w:p>
        </w:tc>
      </w:tr>
      <w:tr>
        <w:trPr>
          <w:trHeight w:val="108"/>
        </w:trPr>
        <w:tc>
          <w:tcPr>
            <w:tcW w:w="94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60" w:type="dxa"/>
            <w:vAlign w:val="bottom"/>
            <w:shd w:val="clear" w:color="auto" w:fill="CCEEFF"/>
          </w:tcPr>
          <w:p>
            <w:pPr>
              <w:spacing w:after="0"/>
              <w:rPr>
                <w:sz w:val="18"/>
                <w:szCs w:val="18"/>
                <w:color w:val="auto"/>
              </w:rPr>
            </w:pPr>
          </w:p>
        </w:tc>
      </w:tr>
      <w:tr>
        <w:trPr>
          <w:trHeight w:val="108"/>
        </w:trPr>
        <w:tc>
          <w:tcPr>
            <w:tcW w:w="94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8"/>
        </w:trPr>
        <w:tc>
          <w:tcPr>
            <w:tcW w:w="94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31"/>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$1.00 par value; shares of 100 authorized, none issued</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20"/>
              <w:spacing w:after="0"/>
              <w:rPr>
                <w:sz w:val="20"/>
                <w:szCs w:val="20"/>
                <w:color w:val="auto"/>
              </w:rPr>
            </w:pPr>
            <w:r>
              <w:rPr>
                <w:rFonts w:ascii="Arial" w:cs="Arial" w:eastAsia="Arial" w:hAnsi="Arial"/>
                <w:sz w:val="18"/>
                <w:szCs w:val="18"/>
                <w:color w:val="auto"/>
              </w:rPr>
              <w:t>Common stock, $0.01 par value; shares of 25,000 authorized;shares of 12,765 issued and outstanding</w:t>
            </w:r>
          </w:p>
        </w:tc>
        <w:tc>
          <w:tcPr>
            <w:tcW w:w="11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29,691</w:t>
            </w: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1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110,420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106,841</w:t>
            </w: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deferred compensation</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2"/>
        </w:trPr>
        <w:tc>
          <w:tcPr>
            <w:tcW w:w="9440" w:type="dxa"/>
            <w:vAlign w:val="bottom"/>
          </w:tcPr>
          <w:p>
            <w:pPr>
              <w:ind w:left="20"/>
              <w:spacing w:after="0"/>
              <w:rPr>
                <w:sz w:val="20"/>
                <w:szCs w:val="20"/>
                <w:color w:val="auto"/>
              </w:rPr>
            </w:pPr>
            <w:r>
              <w:rPr>
                <w:rFonts w:ascii="Arial" w:cs="Arial" w:eastAsia="Arial" w:hAnsi="Arial"/>
                <w:sz w:val="18"/>
                <w:szCs w:val="18"/>
                <w:color w:val="auto"/>
              </w:rPr>
              <w:t>Treasury stock, at cost; shares of 2,144 and 2,388 at September 30 and March 31, 2002, respectively</w:t>
            </w:r>
          </w:p>
        </w:tc>
        <w:tc>
          <w:tcPr>
            <w:tcW w:w="110" w:type="dxa"/>
            <w:vAlign w:val="bottom"/>
          </w:tcPr>
          <w:p>
            <w:pPr>
              <w:spacing w:after="0"/>
              <w:rPr>
                <w:sz w:val="19"/>
                <w:szCs w:val="19"/>
                <w:color w:val="auto"/>
              </w:rPr>
            </w:pPr>
          </w:p>
        </w:tc>
        <w:tc>
          <w:tcPr>
            <w:tcW w:w="1130" w:type="dxa"/>
            <w:vAlign w:val="bottom"/>
            <w:gridSpan w:val="2"/>
          </w:tcPr>
          <w:p>
            <w:pPr>
              <w:jc w:val="right"/>
              <w:ind w:right="340"/>
              <w:spacing w:after="0"/>
              <w:rPr>
                <w:sz w:val="20"/>
                <w:szCs w:val="20"/>
                <w:color w:val="auto"/>
              </w:rPr>
            </w:pPr>
            <w:r>
              <w:rPr>
                <w:rFonts w:ascii="Arial" w:cs="Arial" w:eastAsia="Arial" w:hAnsi="Arial"/>
                <w:sz w:val="18"/>
                <w:szCs w:val="18"/>
                <w:color w:val="auto"/>
              </w:rPr>
              <w:t>(18,051)</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(20,105)</w:t>
            </w:r>
          </w:p>
        </w:tc>
      </w:tr>
      <w:tr>
        <w:trPr>
          <w:trHeight w:val="102"/>
        </w:trPr>
        <w:tc>
          <w:tcPr>
            <w:tcW w:w="94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116,439</w:t>
            </w:r>
          </w:p>
        </w:tc>
        <w:tc>
          <w:tcPr>
            <w:tcW w:w="60" w:type="dxa"/>
            <w:vAlign w:val="bottom"/>
            <w:shd w:val="clear" w:color="auto" w:fill="CCEEFF"/>
          </w:tcPr>
          <w:p>
            <w:pPr>
              <w:spacing w:after="0"/>
              <w:rPr>
                <w:sz w:val="18"/>
                <w:szCs w:val="18"/>
                <w:color w:val="auto"/>
              </w:rPr>
            </w:pPr>
          </w:p>
        </w:tc>
      </w:tr>
      <w:tr>
        <w:trPr>
          <w:trHeight w:val="108"/>
        </w:trPr>
        <w:tc>
          <w:tcPr>
            <w:tcW w:w="94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257,923</w:t>
            </w:r>
          </w:p>
        </w:tc>
        <w:tc>
          <w:tcPr>
            <w:tcW w:w="60" w:type="dxa"/>
            <w:vAlign w:val="bottom"/>
            <w:shd w:val="clear" w:color="auto" w:fill="CCEEFF"/>
          </w:tcPr>
          <w:p>
            <w:pPr>
              <w:spacing w:after="0"/>
              <w:rPr>
                <w:sz w:val="18"/>
                <w:szCs w:val="18"/>
                <w:color w:val="auto"/>
              </w:rPr>
            </w:pPr>
          </w:p>
        </w:tc>
      </w:tr>
      <w:tr>
        <w:trPr>
          <w:trHeight w:val="132"/>
        </w:trPr>
        <w:tc>
          <w:tcPr>
            <w:tcW w:w="94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9440" w:type="dxa"/>
            <w:vAlign w:val="bottom"/>
          </w:tcPr>
          <w:p>
            <w:pPr>
              <w:ind w:left="2260"/>
              <w:spacing w:after="0"/>
              <w:rPr>
                <w:sz w:val="20"/>
                <w:szCs w:val="20"/>
                <w:color w:val="auto"/>
              </w:rPr>
            </w:pPr>
            <w:r>
              <w:rPr>
                <w:rFonts w:ascii="Arial" w:cs="Arial" w:eastAsia="Arial" w:hAnsi="Arial"/>
                <w:sz w:val="18"/>
                <w:szCs w:val="18"/>
                <w:color w:val="auto"/>
                <w:w w:val="90"/>
              </w:rPr>
              <w:t>The accompanying notes are an integral part of these condensed consolidated financial statements.</w:t>
            </w: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9440" w:type="dxa"/>
            <w:vAlign w:val="bottom"/>
          </w:tcPr>
          <w:p>
            <w:pPr>
              <w:ind w:left="5680"/>
              <w:spacing w:after="0"/>
              <w:rPr>
                <w:sz w:val="20"/>
                <w:szCs w:val="20"/>
                <w:color w:val="auto"/>
              </w:rPr>
            </w:pPr>
            <w:r>
              <w:rPr>
                <w:rFonts w:ascii="Arial" w:cs="Arial" w:eastAsia="Arial" w:hAnsi="Arial"/>
                <w:sz w:val="18"/>
                <w:szCs w:val="18"/>
                <w:color w:val="auto"/>
              </w:rPr>
              <w:t>2</w:t>
            </w: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-4236720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-4236720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-4236720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-4236720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-4236720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-4236720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-600710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-600710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-600710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-600710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-600710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-600710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15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74"/>
        </w:trPr>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95"/>
        </w:trPr>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7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r>
      <w:tr>
        <w:trPr>
          <w:trHeight w:val="95"/>
        </w:trPr>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510,601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349,710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969,510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687,817</w:t>
            </w:r>
          </w:p>
        </w:tc>
        <w:tc>
          <w:tcPr>
            <w:tcW w:w="60" w:type="dxa"/>
            <w:vAlign w:val="bottom"/>
            <w:shd w:val="clear" w:color="auto" w:fill="CCEEFF"/>
          </w:tcPr>
          <w:p>
            <w:pPr>
              <w:spacing w:after="0"/>
              <w:rPr>
                <w:sz w:val="18"/>
                <w:szCs w:val="18"/>
                <w:color w:val="auto"/>
              </w:rPr>
            </w:pPr>
          </w:p>
        </w:tc>
      </w:tr>
      <w:tr>
        <w:trPr>
          <w:trHeight w:val="222"/>
        </w:trPr>
        <w:tc>
          <w:tcPr>
            <w:tcW w:w="74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490,467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331,828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929,270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651,638</w:t>
            </w:r>
          </w:p>
        </w:tc>
        <w:tc>
          <w:tcPr>
            <w:tcW w:w="60" w:type="dxa"/>
            <w:vAlign w:val="bottom"/>
          </w:tcPr>
          <w:p>
            <w:pPr>
              <w:spacing w:after="0"/>
              <w:rPr>
                <w:sz w:val="19"/>
                <w:szCs w:val="19"/>
                <w:color w:val="auto"/>
              </w:rPr>
            </w:pPr>
          </w:p>
        </w:tc>
      </w:tr>
      <w:tr>
        <w:trPr>
          <w:trHeight w:val="102"/>
        </w:trPr>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36,179</w:t>
            </w:r>
          </w:p>
        </w:tc>
        <w:tc>
          <w:tcPr>
            <w:tcW w:w="60" w:type="dxa"/>
            <w:vAlign w:val="bottom"/>
            <w:shd w:val="clear" w:color="auto" w:fill="CCEEFF"/>
          </w:tcPr>
          <w:p>
            <w:pPr>
              <w:spacing w:after="0"/>
              <w:rPr>
                <w:sz w:val="18"/>
                <w:szCs w:val="18"/>
                <w:color w:val="auto"/>
              </w:rPr>
            </w:pPr>
          </w:p>
        </w:tc>
      </w:tr>
      <w:tr>
        <w:trPr>
          <w:trHeight w:val="108"/>
        </w:trPr>
        <w:tc>
          <w:tcPr>
            <w:tcW w:w="7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ind w:left="30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14,990</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Executive severence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0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60" w:type="dxa"/>
            <w:vAlign w:val="bottom"/>
            <w:shd w:val="clear" w:color="auto" w:fill="CCEEFF"/>
          </w:tcPr>
          <w:p>
            <w:pPr>
              <w:spacing w:after="0"/>
              <w:rPr>
                <w:sz w:val="18"/>
                <w:szCs w:val="18"/>
                <w:color w:val="auto"/>
              </w:rPr>
            </w:pPr>
          </w:p>
        </w:tc>
      </w:tr>
      <w:tr>
        <w:trPr>
          <w:trHeight w:val="108"/>
        </w:trPr>
        <w:tc>
          <w:tcPr>
            <w:tcW w:w="7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26,834</w:t>
            </w:r>
          </w:p>
        </w:tc>
        <w:tc>
          <w:tcPr>
            <w:tcW w:w="60" w:type="dxa"/>
            <w:vAlign w:val="bottom"/>
            <w:shd w:val="clear" w:color="auto" w:fill="CCEEFF"/>
          </w:tcPr>
          <w:p>
            <w:pPr>
              <w:spacing w:after="0"/>
              <w:rPr>
                <w:sz w:val="18"/>
                <w:szCs w:val="18"/>
                <w:color w:val="auto"/>
              </w:rPr>
            </w:pPr>
          </w:p>
        </w:tc>
      </w:tr>
      <w:tr>
        <w:trPr>
          <w:trHeight w:val="108"/>
        </w:trPr>
        <w:tc>
          <w:tcPr>
            <w:tcW w:w="7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60" w:type="dxa"/>
            <w:vAlign w:val="bottom"/>
            <w:shd w:val="clear" w:color="auto" w:fill="CCEEFF"/>
          </w:tcPr>
          <w:p>
            <w:pPr>
              <w:spacing w:after="0"/>
              <w:rPr>
                <w:sz w:val="18"/>
                <w:szCs w:val="18"/>
                <w:color w:val="auto"/>
              </w:rPr>
            </w:pPr>
          </w:p>
        </w:tc>
      </w:tr>
      <w:tr>
        <w:trPr>
          <w:trHeight w:val="108"/>
        </w:trPr>
        <w:tc>
          <w:tcPr>
            <w:tcW w:w="7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ind w:left="30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Non-recurring (charge) credit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22"/>
        </w:trPr>
        <w:tc>
          <w:tcPr>
            <w:tcW w:w="744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(548)</w:t>
            </w:r>
          </w:p>
        </w:tc>
      </w:tr>
      <w:tr>
        <w:trPr>
          <w:trHeight w:val="102"/>
        </w:trPr>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60" w:type="dxa"/>
            <w:vAlign w:val="bottom"/>
            <w:shd w:val="clear" w:color="auto" w:fill="CCEEFF"/>
          </w:tcPr>
          <w:p>
            <w:pPr>
              <w:spacing w:after="0"/>
              <w:rPr>
                <w:sz w:val="18"/>
                <w:szCs w:val="18"/>
                <w:color w:val="auto"/>
              </w:rPr>
            </w:pPr>
          </w:p>
        </w:tc>
      </w:tr>
      <w:tr>
        <w:trPr>
          <w:trHeight w:val="222"/>
        </w:trPr>
        <w:tc>
          <w:tcPr>
            <w:tcW w:w="744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(2,310)</w:t>
            </w:r>
          </w:p>
        </w:tc>
      </w:tr>
      <w:tr>
        <w:trPr>
          <w:trHeight w:val="102"/>
        </w:trPr>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60" w:type="dxa"/>
            <w:vAlign w:val="bottom"/>
            <w:shd w:val="clear" w:color="auto" w:fill="CCEEFF"/>
          </w:tcPr>
          <w:p>
            <w:pPr>
              <w:spacing w:after="0"/>
              <w:rPr>
                <w:sz w:val="18"/>
                <w:szCs w:val="18"/>
                <w:color w:val="auto"/>
              </w:rPr>
            </w:pPr>
          </w:p>
        </w:tc>
      </w:tr>
      <w:tr>
        <w:trPr>
          <w:trHeight w:val="132"/>
        </w:trPr>
        <w:tc>
          <w:tcPr>
            <w:tcW w:w="7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7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0" w:type="dxa"/>
            <w:vAlign w:val="bottom"/>
            <w:shd w:val="clear" w:color="auto" w:fill="CCEEFF"/>
          </w:tcPr>
          <w:p>
            <w:pPr>
              <w:spacing w:after="0"/>
              <w:rPr>
                <w:sz w:val="18"/>
                <w:szCs w:val="18"/>
                <w:color w:val="auto"/>
              </w:rPr>
            </w:pPr>
          </w:p>
        </w:tc>
      </w:tr>
      <w:tr>
        <w:trPr>
          <w:trHeight w:val="132"/>
        </w:trPr>
        <w:tc>
          <w:tcPr>
            <w:tcW w:w="7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7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60" w:type="dxa"/>
            <w:vAlign w:val="bottom"/>
            <w:shd w:val="clear" w:color="auto" w:fill="CCEEFF"/>
          </w:tcPr>
          <w:p>
            <w:pPr>
              <w:spacing w:after="0"/>
              <w:rPr>
                <w:sz w:val="18"/>
                <w:szCs w:val="18"/>
                <w:color w:val="auto"/>
              </w:rPr>
            </w:pPr>
          </w:p>
        </w:tc>
      </w:tr>
      <w:tr>
        <w:trPr>
          <w:trHeight w:val="132"/>
        </w:trPr>
        <w:tc>
          <w:tcPr>
            <w:tcW w:w="7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7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60" w:type="dxa"/>
            <w:vAlign w:val="bottom"/>
            <w:shd w:val="clear" w:color="auto" w:fill="CCEEFF"/>
          </w:tcPr>
          <w:p>
            <w:pPr>
              <w:spacing w:after="0"/>
              <w:rPr>
                <w:sz w:val="18"/>
                <w:szCs w:val="18"/>
                <w:color w:val="auto"/>
              </w:rPr>
            </w:pPr>
          </w:p>
        </w:tc>
      </w:tr>
      <w:tr>
        <w:trPr>
          <w:trHeight w:val="132"/>
        </w:trPr>
        <w:tc>
          <w:tcPr>
            <w:tcW w:w="7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7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60" w:type="dxa"/>
            <w:vAlign w:val="bottom"/>
            <w:shd w:val="clear" w:color="auto" w:fill="CCEEFF"/>
          </w:tcPr>
          <w:p>
            <w:pPr>
              <w:spacing w:after="0"/>
              <w:rPr>
                <w:sz w:val="18"/>
                <w:szCs w:val="18"/>
                <w:color w:val="auto"/>
              </w:rPr>
            </w:pPr>
          </w:p>
        </w:tc>
      </w:tr>
      <w:tr>
        <w:trPr>
          <w:trHeight w:val="132"/>
        </w:trPr>
        <w:tc>
          <w:tcPr>
            <w:tcW w:w="7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-1229995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-1229995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-1229995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-1229995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-1229995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-1229995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-1229995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-1229995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-1229995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-1229995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-1229995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-1229995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-929640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-929640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-929640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-929640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-929640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-929640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-929640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-929640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-929640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-929640</wp:posOffset>
            </wp:positionV>
            <wp:extent cx="4584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-629285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-629285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-629285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-629285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-629285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-629285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-629285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-629285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-629285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-629285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-629285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-629285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-329565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-329565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-329565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-329565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-329565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-329565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-329565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-329565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-329565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15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(Unaudited—In thousands)</w:t>
      </w:r>
    </w:p>
    <w:p>
      <w:pPr>
        <w:spacing w:after="0" w:line="147"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60325</wp:posOffset>
            </wp:positionV>
            <wp:extent cx="10375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r>
      <w:tr>
        <w:trPr>
          <w:trHeight w:val="95"/>
        </w:trPr>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continuing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5,153</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8,289</w:t>
            </w:r>
          </w:p>
        </w:tc>
        <w:tc>
          <w:tcPr>
            <w:tcW w:w="60" w:type="dxa"/>
            <w:vAlign w:val="bottom"/>
          </w:tcPr>
          <w:p>
            <w:pPr>
              <w:spacing w:after="0"/>
              <w:rPr>
                <w:sz w:val="19"/>
                <w:szCs w:val="19"/>
                <w:color w:val="auto"/>
              </w:rPr>
            </w:pPr>
          </w:p>
        </w:tc>
      </w:tr>
      <w:tr>
        <w:trPr>
          <w:trHeight w:val="102"/>
        </w:trPr>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(used in) provided by continuing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865</w:t>
            </w:r>
          </w:p>
        </w:tc>
        <w:tc>
          <w:tcPr>
            <w:tcW w:w="60" w:type="dxa"/>
            <w:vAlign w:val="bottom"/>
          </w:tcPr>
          <w:p>
            <w:pPr>
              <w:spacing w:after="0"/>
              <w:rPr>
                <w:sz w:val="18"/>
                <w:szCs w:val="18"/>
                <w:color w:val="auto"/>
              </w:rPr>
            </w:pPr>
          </w:p>
        </w:tc>
      </w:tr>
      <w:tr>
        <w:trPr>
          <w:trHeight w:val="216"/>
        </w:trPr>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60" w:type="dxa"/>
            <w:vAlign w:val="bottom"/>
            <w:shd w:val="clear" w:color="auto" w:fill="CCEEFF"/>
          </w:tcPr>
          <w:p>
            <w:pPr>
              <w:spacing w:after="0"/>
              <w:rPr>
                <w:sz w:val="18"/>
                <w:szCs w:val="18"/>
                <w:color w:val="auto"/>
              </w:rPr>
            </w:pPr>
          </w:p>
        </w:tc>
      </w:tr>
      <w:tr>
        <w:trPr>
          <w:trHeight w:val="216"/>
        </w:trPr>
        <w:tc>
          <w:tcPr>
            <w:tcW w:w="9720" w:type="dxa"/>
            <w:vAlign w:val="bottom"/>
          </w:tcPr>
          <w:p>
            <w:pPr>
              <w:ind w:left="40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(819)</w:t>
            </w:r>
          </w:p>
        </w:tc>
      </w:tr>
      <w:tr>
        <w:trPr>
          <w:trHeight w:val="216"/>
        </w:trPr>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Non-recurring charge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720" w:type="dxa"/>
            <w:vAlign w:val="bottom"/>
          </w:tcPr>
          <w:p>
            <w:pPr>
              <w:ind w:left="400"/>
              <w:spacing w:after="0"/>
              <w:rPr>
                <w:sz w:val="20"/>
                <w:szCs w:val="20"/>
                <w:color w:val="auto"/>
              </w:rPr>
            </w:pPr>
            <w:r>
              <w:rPr>
                <w:rFonts w:ascii="Arial" w:cs="Arial" w:eastAsia="Arial" w:hAnsi="Arial"/>
                <w:sz w:val="18"/>
                <w:szCs w:val="18"/>
                <w:color w:val="auto"/>
              </w:rPr>
              <w:t>Earnings from aviation joint ventures, net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deferred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720" w:type="dxa"/>
            <w:vAlign w:val="bottom"/>
          </w:tcPr>
          <w:p>
            <w:pPr>
              <w:ind w:left="400"/>
              <w:spacing w:after="0"/>
              <w:rPr>
                <w:sz w:val="20"/>
                <w:szCs w:val="20"/>
                <w:color w:val="auto"/>
              </w:rPr>
            </w:pPr>
            <w:r>
              <w:rPr>
                <w:rFonts w:ascii="Arial" w:cs="Arial" w:eastAsia="Arial" w:hAnsi="Arial"/>
                <w:sz w:val="18"/>
                <w:szCs w:val="18"/>
                <w:color w:val="auto"/>
              </w:rPr>
              <w:t>Other non-cash operating charges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20" w:type="dxa"/>
            <w:vAlign w:val="bottom"/>
          </w:tcPr>
          <w:p>
            <w:pPr>
              <w:ind w:left="580"/>
              <w:spacing w:after="0"/>
              <w:rPr>
                <w:sz w:val="20"/>
                <w:szCs w:val="20"/>
                <w:color w:val="auto"/>
              </w:rPr>
            </w:pPr>
            <w:r>
              <w:rPr>
                <w:rFonts w:ascii="Arial" w:cs="Arial" w:eastAsia="Arial" w:hAnsi="Arial"/>
                <w:sz w:val="18"/>
                <w:szCs w:val="18"/>
                <w:color w:val="auto"/>
              </w:rPr>
              <w:t>Accounts and notes receivable</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(37,765)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(3,741)</w:t>
            </w:r>
          </w:p>
        </w:tc>
      </w:tr>
      <w:tr>
        <w:trPr>
          <w:trHeight w:val="216"/>
        </w:trPr>
        <w:tc>
          <w:tcPr>
            <w:tcW w:w="9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9720" w:type="dxa"/>
            <w:vAlign w:val="bottom"/>
          </w:tcPr>
          <w:p>
            <w:pPr>
              <w:ind w:left="5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(7,377)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r>
      <w:tr>
        <w:trPr>
          <w:trHeight w:val="216"/>
        </w:trPr>
        <w:tc>
          <w:tcPr>
            <w:tcW w:w="9720" w:type="dxa"/>
            <w:vAlign w:val="bottom"/>
          </w:tcPr>
          <w:p>
            <w:pPr>
              <w:ind w:left="5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40,625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4,554</w:t>
            </w:r>
          </w:p>
        </w:tc>
        <w:tc>
          <w:tcPr>
            <w:tcW w:w="60" w:type="dxa"/>
            <w:vAlign w:val="bottom"/>
          </w:tcPr>
          <w:p>
            <w:pPr>
              <w:spacing w:after="0"/>
              <w:rPr>
                <w:sz w:val="18"/>
                <w:szCs w:val="18"/>
                <w:color w:val="auto"/>
              </w:rPr>
            </w:pPr>
          </w:p>
        </w:tc>
      </w:tr>
      <w:tr>
        <w:trPr>
          <w:trHeight w:val="216"/>
        </w:trPr>
        <w:tc>
          <w:tcPr>
            <w:tcW w:w="9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r>
      <w:tr>
        <w:trPr>
          <w:trHeight w:val="222"/>
        </w:trPr>
        <w:tc>
          <w:tcPr>
            <w:tcW w:w="9720" w:type="dxa"/>
            <w:vAlign w:val="bottom"/>
          </w:tcPr>
          <w:p>
            <w:pPr>
              <w:ind w:left="58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(1,742)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102"/>
        </w:trPr>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60" w:type="dxa"/>
            <w:vAlign w:val="bottom"/>
            <w:shd w:val="clear" w:color="auto" w:fill="CCEEFF"/>
          </w:tcPr>
          <w:p>
            <w:pPr>
              <w:spacing w:after="0"/>
              <w:rPr>
                <w:sz w:val="18"/>
                <w:szCs w:val="18"/>
                <w:color w:val="auto"/>
              </w:rPr>
            </w:pPr>
          </w:p>
        </w:tc>
      </w:tr>
      <w:tr>
        <w:trPr>
          <w:trHeight w:val="108"/>
        </w:trPr>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Net cash (used in) provided by continuing operating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11,400</w:t>
            </w:r>
          </w:p>
        </w:tc>
        <w:tc>
          <w:tcPr>
            <w:tcW w:w="60" w:type="dxa"/>
            <w:vAlign w:val="bottom"/>
            <w:shd w:val="clear" w:color="auto" w:fill="CCEEFF"/>
          </w:tcPr>
          <w:p>
            <w:pPr>
              <w:spacing w:after="0"/>
              <w:rPr>
                <w:sz w:val="18"/>
                <w:szCs w:val="18"/>
                <w:color w:val="auto"/>
              </w:rPr>
            </w:pPr>
          </w:p>
        </w:tc>
      </w:tr>
      <w:tr>
        <w:trPr>
          <w:trHeight w:val="108"/>
        </w:trPr>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for acquisition of business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(3,064)</w:t>
            </w:r>
          </w:p>
        </w:tc>
      </w:tr>
      <w:tr>
        <w:trPr>
          <w:trHeight w:val="108"/>
        </w:trPr>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(3,895)</w:t>
            </w:r>
          </w:p>
        </w:tc>
      </w:tr>
      <w:tr>
        <w:trPr>
          <w:trHeight w:val="108"/>
        </w:trPr>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20" w:type="dxa"/>
            <w:vAlign w:val="bottom"/>
          </w:tcPr>
          <w:p>
            <w:pPr>
              <w:ind w:left="20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(2,341)</w:t>
            </w:r>
          </w:p>
        </w:tc>
      </w:tr>
      <w:tr>
        <w:trPr>
          <w:trHeight w:val="216"/>
        </w:trPr>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(1,225)</w:t>
            </w:r>
          </w:p>
        </w:tc>
      </w:tr>
      <w:tr>
        <w:trPr>
          <w:trHeight w:val="216"/>
        </w:trPr>
        <w:tc>
          <w:tcPr>
            <w:tcW w:w="972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r>
      <w:tr>
        <w:trPr>
          <w:trHeight w:val="216"/>
        </w:trPr>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credit facility,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9720" w:type="dxa"/>
            <w:vAlign w:val="bottom"/>
          </w:tcPr>
          <w:p>
            <w:pPr>
              <w:ind w:left="200"/>
              <w:spacing w:after="0"/>
              <w:rPr>
                <w:sz w:val="20"/>
                <w:szCs w:val="20"/>
                <w:color w:val="auto"/>
              </w:rPr>
            </w:pPr>
            <w:r>
              <w:rPr>
                <w:rFonts w:ascii="Arial" w:cs="Arial" w:eastAsia="Arial" w:hAnsi="Arial"/>
                <w:sz w:val="18"/>
                <w:szCs w:val="18"/>
                <w:color w:val="auto"/>
              </w:rPr>
              <w:t>Repayment of debt</w:t>
            </w: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(4,404)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(1,408)</w:t>
            </w:r>
          </w:p>
        </w:tc>
      </w:tr>
      <w:tr>
        <w:trPr>
          <w:trHeight w:val="102"/>
        </w:trPr>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(4,935)</w:t>
            </w:r>
          </w:p>
        </w:tc>
      </w:tr>
      <w:tr>
        <w:trPr>
          <w:trHeight w:val="108"/>
        </w:trPr>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0" w:type="dxa"/>
            <w:vAlign w:val="bottom"/>
            <w:shd w:val="clear" w:color="auto" w:fill="CCEEFF"/>
          </w:tcPr>
          <w:p>
            <w:pPr>
              <w:spacing w:after="0"/>
              <w:rPr>
                <w:sz w:val="18"/>
                <w:szCs w:val="18"/>
                <w:color w:val="auto"/>
              </w:rPr>
            </w:pPr>
          </w:p>
        </w:tc>
      </w:tr>
      <w:tr>
        <w:trPr>
          <w:trHeight w:val="108"/>
        </w:trPr>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r>
      <w:tr>
        <w:trPr>
          <w:trHeight w:val="222"/>
        </w:trPr>
        <w:tc>
          <w:tcPr>
            <w:tcW w:w="97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58,172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38,977</w:t>
            </w:r>
          </w:p>
        </w:tc>
        <w:tc>
          <w:tcPr>
            <w:tcW w:w="60" w:type="dxa"/>
            <w:vAlign w:val="bottom"/>
          </w:tcPr>
          <w:p>
            <w:pPr>
              <w:spacing w:after="0"/>
              <w:rPr>
                <w:sz w:val="19"/>
                <w:szCs w:val="19"/>
                <w:color w:val="auto"/>
              </w:rPr>
            </w:pPr>
          </w:p>
        </w:tc>
      </w:tr>
      <w:tr>
        <w:trPr>
          <w:trHeight w:val="102"/>
        </w:trPr>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55,333</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43,297</w:t>
            </w:r>
          </w:p>
        </w:tc>
        <w:tc>
          <w:tcPr>
            <w:tcW w:w="60" w:type="dxa"/>
            <w:vAlign w:val="bottom"/>
            <w:shd w:val="clear" w:color="auto" w:fill="CCEEFF"/>
          </w:tcPr>
          <w:p>
            <w:pPr>
              <w:spacing w:after="0"/>
              <w:rPr>
                <w:sz w:val="18"/>
                <w:szCs w:val="18"/>
                <w:color w:val="auto"/>
              </w:rPr>
            </w:pPr>
          </w:p>
        </w:tc>
      </w:tr>
      <w:tr>
        <w:trPr>
          <w:trHeight w:val="149"/>
        </w:trPr>
        <w:tc>
          <w:tcPr>
            <w:tcW w:w="9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gridSpan w:val="2"/>
          </w:tcPr>
          <w:p>
            <w:pPr>
              <w:spacing w:after="0"/>
              <w:rPr>
                <w:sz w:val="12"/>
                <w:szCs w:val="12"/>
                <w:color w:val="auto"/>
              </w:rPr>
            </w:pPr>
          </w:p>
        </w:tc>
      </w:tr>
      <w:tr>
        <w:trPr>
          <w:trHeight w:val="302"/>
        </w:trPr>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95"/>
              </w:rPr>
              <w:t>(Continued)</w:t>
            </w:r>
          </w:p>
        </w:tc>
      </w:tr>
      <w:tr>
        <w:trPr>
          <w:trHeight w:val="365"/>
        </w:trPr>
        <w:tc>
          <w:tcPr>
            <w:tcW w:w="9720" w:type="dxa"/>
            <w:vAlign w:val="bottom"/>
          </w:tcPr>
          <w:p>
            <w:pPr>
              <w:ind w:left="2260"/>
              <w:spacing w:after="0"/>
              <w:rPr>
                <w:sz w:val="20"/>
                <w:szCs w:val="20"/>
                <w:color w:val="auto"/>
              </w:rPr>
            </w:pPr>
            <w:r>
              <w:rPr>
                <w:rFonts w:ascii="Arial" w:cs="Arial" w:eastAsia="Arial" w:hAnsi="Arial"/>
                <w:sz w:val="18"/>
                <w:szCs w:val="18"/>
                <w:color w:val="auto"/>
                <w:w w:val="93"/>
              </w:rPr>
              <w:t>The accompanying notes are an integral part of these condensed consolidated financial statements.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-463550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-463550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-463550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-463550</wp:posOffset>
            </wp:positionV>
            <wp:extent cx="39878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15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7" w:lineRule="exact"/>
        <w:rPr>
          <w:sz w:val="20"/>
          <w:szCs w:val="20"/>
          <w:color w:val="auto"/>
        </w:rPr>
      </w:pPr>
    </w:p>
    <w:p>
      <w:pPr>
        <w:jc w:val="center"/>
        <w:ind w:left="1008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10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60325</wp:posOffset>
            </wp:positionV>
            <wp:extent cx="8489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2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5,058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-329565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-329565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-329565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-329565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ACTIVITIES:</w:t>
      </w:r>
    </w:p>
    <w:p>
      <w:pPr>
        <w:spacing w:after="0" w:line="16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three months ended September 30, 2002 and 2001, we declared cash dividends of $791 thousand and $781 thousand, respectively, and paid those dividends in October 2002 and 2001, respectively.</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an acquisition in the marine segment in April 2001, we issued a $2.0 million promissory note bearing interest at 7%, payable over two years with the first installment due and paid in April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15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accounting polices followed for quarterly financial reporting are the same as those disclosed in Note 1 of the Notes to the Consolidated Financial Statements included in our 10-K Report for the year ended March 31, 2002.</w:t>
      </w:r>
    </w:p>
    <w:p>
      <w:pPr>
        <w:spacing w:after="0" w:line="11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 CHANGE</w:t>
      </w:r>
    </w:p>
    <w:p>
      <w:pPr>
        <w:spacing w:after="0" w:line="16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announced on August 1, 2002 that we would be changing our fiscal year end from March 31 to a calendar year end of December 31. We initiated this change so we could be more directly comparable to other public companies that use a calendar year for their fiscal year. Accordingly, we will file a transition report on Form 10-K for the nine months ended December 31, 2002, and will file all reports after such date consistent with a calendar year entity.</w:t>
      </w:r>
    </w:p>
    <w:p>
      <w:pPr>
        <w:spacing w:after="0" w:line="8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SEVERANCE CHARGES AND EMPLOYMENT AGREEMENTS</w:t>
      </w:r>
    </w:p>
    <w:p>
      <w:pPr>
        <w:spacing w:after="0" w:line="16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July 2002, our Board of Directors elected a new Chairman of the Board of Directors (“Chairman”) and Chief Executive Officer (“CEO”), and agreed to employ our former CEO as an advisor to the new Chairman for a term of two years. During this two-year period, the advisor will receive a salary of $100 thousand per year, and he will not be an officer or director of our company. Pursuant to the terms of our former CEO’s employment contract, the change in his compensation and responsibilities entitles him to receive a severance equal to three times his average salary and bonus during the five-year period preceding termination, plus all deferred compensation, including accrued interest. In addition, from July 2002 to September 2002, we terminated the employment of our former Chief Financial Officer, Chief Information Officer, and two other executives. Accordingly, we recorded severance expense totaling $4.5 million, of which $3.7 million related to our former CEO. The severance expense was included under Executive severance charges in the accompanying Condensed Consolidated Financial Statements for the three and six months ended September 30, 2002. In August 2002, we paid our former CEO his executive severance plus deferred compensation, including accrued interest. The other executive severance amounts are paid on a monthly basis over a period of six months to twenty-one months. As of September 30, 2002, our remaining severance liability was approximately $600 thousand.</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promotion of our new Chairman and CEO and new President and Chief Operating Officer (“COO”) to their respective positions, they received increases in their base salary, grants of restricted common stock, and an extension of their employment agreements to July 2007. Our Chairman and CEO received an increase in his base salary of $25 thousand to an annual base salary of $525 thousand, and a grant of 25 thousand shares of restricted common stock. Our President and COO received an increase in his base salary of $22 thousand to an annual base salary of $460 thousand, and a grant of 22 thousand shares of restricted common stock. The restricted common stock grants for both our CEO and COO shall vest in three equal installments in July 2005, 2006, and 2007. In addition, effective April 1, 2002, our CEO and COO are eligible to receive an annual bonus payable upon achievement of performance targets, which targets are based on basic earnings per share growth from the preceding fiscal year. The bonus payout may range from 50% of base salary if at least 80% of the annual target goal is achieved, to 200% of base salary if results exceed the annual target goal by 20% or more. Each year, performance targets are set by our Board of Directors’ Compensation Committee, pursuant to an Annual Incentive Plan adopted by our Board of Directors.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and Non-employee Directors Stock Option Plans</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August 2002, we announced that we adopted the accounting provision of Statement of Financial Accounting Standards No. 123, “Accounting for Stock-Based Compensation” (“SFAS 123”), to account for stock-based awards granted to our employees and non-employee directors. Under the provision of SFAS 123, we recorded as of the grant date the fair value of awards granted after the beginning of our current fiscal year, April 1, 2002, with compensation expenses charged as the awards vest. Stock-based awards granted prior to April 1, 2002, will continue to be accounted for under the intrinsic value method of Accounting Principles Board Opinion No. 25, “Accounting for Stock Issued to Employees.” For the three and six months ended September 30, 2002, we recorded $26 thousand in compensation expense related to employee and non-employee directors stock options granted since April 1, 2002. As of September 30, 2002, Unearned deferred compensation related to stock-based awards was $182 thousand in the accompanying Condensed Consolidated Balance Sheets, which is being amortized as compensation expenses as the employee and non-employee directors stock options vest.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Common Stock</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2002, under the 2001 Omnibus Plan, we have granted 117 thousand shares of restricted common stock to our employees. These restricted shares of common stock vest between one year and five years from the date of grant. Based on the market value of our common stock on the date of grant, these restricted shares were valued at $2.2 million. The fair value of these restricted shares were recorded as Unearned deferred compensation and are being amortized over the minimum vesting period of each individual restricted common stock agreement. For the three and six months ended September 30, 2002, amortization of $215 thousand was recognized as compensation expense related to these restricted shares. As of September 30 and March 31, 2002, Unearned deferred compensation of $1.8 million and $116 thousand, respectively, were included in the accompanying Condensed Consolidated Balance Sheets.</w:t>
      </w:r>
    </w:p>
    <w:p>
      <w:pPr>
        <w:spacing w:after="0" w:line="101"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significant items of other comprehensive income, and thus, net income is equal to comprehensive income for all periods presented.</w:t>
      </w:r>
    </w:p>
    <w:p>
      <w:pPr>
        <w:spacing w:after="0" w:line="175"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Effective April 2002, we adopted Statement of Financial Accounting Standards (“SFAS”) No. 144, “Accounting for the Impairment or Disposal of Long-Lived Assets.” SFAS No. 144 addresses financial accounting and reporting for the impairment or disposal of long-lived assets, excluding goodwill. The adoption of SFAS No. 144 did not have a material effect on our consolidated financial statements.</w:t>
      </w:r>
    </w:p>
    <w:p>
      <w:pPr>
        <w:spacing w:after="0" w:line="121"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December 2001, we replaced our existing credit facility while maintaining the same credit limit of $30.0 million with an increase to the sublimit for letters of credit from $15.0 million to $25.0 million. Our available borrowings under the credit facility are reduced by the amount of outstanding letters of credit. As of September 30, 2002, we had borrowings of $5.0 million under the credit facility. Letters of credit of $14.6 million were outstanding under the credit facility agreement. The credit facility agreement expires on December 7, 2004. Borrowings under the revolving credit facility bear interest at market rates, as defined under the credit facility agreement. Interest is payable quarterly in arrears. The credit facility agreement imposes certain operating and financial restrictions on us, including restrictions on the payment of dividends in excess of specified amounts. Our failure to comply with obligations under the revolving credit agreement, including meeting certain financial ratios, could result in an event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 default. An event of default, if not cured or waived, would permit acceleration of any outstanding indebtedness under the credit agreement, and impair our ability to receive advances, and issue letters of credit. As of September 30, 2002, we were in compliance with the operating and financial requirements under the credit facility.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consisted of the following at: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4"/>
        </w:trPr>
        <w:tc>
          <w:tcPr>
            <w:tcW w:w="94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9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4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29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on revolving credit facility</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Promissory notes issued in connection with business acquisitions:</w:t>
            </w:r>
          </w:p>
        </w:tc>
        <w:tc>
          <w:tcPr>
            <w:tcW w:w="13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7.75% promissory note, last annual installment paid in April 2002 and was secured by letters of credit which expired in</w:t>
            </w:r>
          </w:p>
        </w:tc>
        <w:tc>
          <w:tcPr>
            <w:tcW w:w="13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April 2002.</w:t>
            </w:r>
          </w:p>
        </w:tc>
        <w:tc>
          <w:tcPr>
            <w:tcW w:w="130" w:type="dxa"/>
            <w:vAlign w:val="bottom"/>
            <w:shd w:val="clear" w:color="auto" w:fill="CCEEFF"/>
          </w:tcPr>
          <w:p>
            <w:pPr>
              <w:spacing w:after="0"/>
              <w:rPr>
                <w:sz w:val="19"/>
                <w:szCs w:val="19"/>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80"/>
              <w:spacing w:after="0"/>
              <w:rPr>
                <w:sz w:val="20"/>
                <w:szCs w:val="20"/>
                <w:color w:val="auto"/>
              </w:rPr>
            </w:pPr>
            <w:r>
              <w:rPr>
                <w:rFonts w:ascii="Arial" w:cs="Arial" w:eastAsia="Arial" w:hAnsi="Arial"/>
                <w:sz w:val="18"/>
                <w:szCs w:val="18"/>
                <w:color w:val="auto"/>
              </w:rPr>
              <w:t>7.00% promissory note, payable annually through April 2003 with the first installment paid in April 2002.</w:t>
            </w:r>
          </w:p>
        </w:tc>
        <w:tc>
          <w:tcPr>
            <w:tcW w:w="13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Non-interest bearing promissory note of $2.5 million, payable annually through January 2006, net of unamortized imputed</w:t>
            </w:r>
          </w:p>
        </w:tc>
        <w:tc>
          <w:tcPr>
            <w:tcW w:w="13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discount (at 9.00%) of $263 thousand and $335 thousand at September 30 and March 31, 2002, respectively.</w:t>
            </w:r>
          </w:p>
        </w:tc>
        <w:tc>
          <w:tcPr>
            <w:tcW w:w="130" w:type="dxa"/>
            <w:vAlign w:val="bottom"/>
            <w:shd w:val="clear" w:color="auto" w:fill="CCEEFF"/>
          </w:tcPr>
          <w:p>
            <w:pPr>
              <w:spacing w:after="0"/>
              <w:rPr>
                <w:sz w:val="19"/>
                <w:szCs w:val="19"/>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480" w:type="dxa"/>
            <w:vAlign w:val="bottom"/>
          </w:tcPr>
          <w:p>
            <w:pPr>
              <w:ind w:left="380"/>
              <w:spacing w:after="0"/>
              <w:rPr>
                <w:sz w:val="20"/>
                <w:szCs w:val="20"/>
                <w:color w:val="auto"/>
              </w:rPr>
            </w:pPr>
            <w:r>
              <w:rPr>
                <w:rFonts w:ascii="Arial" w:cs="Arial" w:eastAsia="Arial" w:hAnsi="Arial"/>
                <w:sz w:val="18"/>
                <w:szCs w:val="18"/>
                <w:color w:val="auto"/>
                <w:w w:val="94"/>
              </w:rPr>
              <w:t>Non-interest bearing promissory note of $3.3 million, payable annually through January 2005, net of unamortized imputed</w:t>
            </w:r>
          </w:p>
        </w:tc>
        <w:tc>
          <w:tcPr>
            <w:tcW w:w="13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560"/>
              <w:spacing w:after="0"/>
              <w:rPr>
                <w:sz w:val="20"/>
                <w:szCs w:val="20"/>
                <w:color w:val="auto"/>
              </w:rPr>
            </w:pPr>
            <w:r>
              <w:rPr>
                <w:rFonts w:ascii="Arial" w:cs="Arial" w:eastAsia="Arial" w:hAnsi="Arial"/>
                <w:sz w:val="18"/>
                <w:szCs w:val="18"/>
                <w:color w:val="auto"/>
              </w:rPr>
              <w:t>discount (at 5.00%) of $189 thousand and $263 thousand at September 30 and March 31, 2002, respectively.</w:t>
            </w:r>
          </w:p>
        </w:tc>
        <w:tc>
          <w:tcPr>
            <w:tcW w:w="13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3,037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3.68% bank loan assumed in connection with a business acquisition,paid in September 2002.</w:t>
            </w:r>
          </w:p>
        </w:tc>
        <w:tc>
          <w:tcPr>
            <w:tcW w:w="13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760"/>
              <w:spacing w:after="0"/>
              <w:rPr>
                <w:sz w:val="20"/>
                <w:szCs w:val="20"/>
                <w:color w:val="auto"/>
              </w:rPr>
            </w:pPr>
            <w:r>
              <w:rPr>
                <w:rFonts w:ascii="Arial" w:cs="Arial" w:eastAsia="Arial" w:hAnsi="Arial"/>
                <w:sz w:val="18"/>
                <w:szCs w:val="18"/>
                <w:color w:val="auto"/>
              </w:rPr>
              <w:t>Less current maturities</w:t>
            </w:r>
          </w:p>
        </w:tc>
        <w:tc>
          <w:tcPr>
            <w:tcW w:w="13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2,453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2002, the aggregate annual maturities of debt, net of unamortized imputed discount, are as follows: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Twelve months ending September 30,</w:t>
            </w: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2003</w:t>
            </w:r>
          </w:p>
        </w:tc>
        <w:tc>
          <w:tcPr>
            <w:tcW w:w="3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2005</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5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3040" w:type="dxa"/>
            <w:vAlign w:val="bottom"/>
            <w:vMerge w:val="restart"/>
          </w:tcPr>
          <w:p>
            <w:pPr>
              <w:jc w:val="right"/>
              <w:ind w:right="215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5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-368935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-368935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-368935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based on the sum of the weighted average number of common shares outstanding, non-vested restricted common stock and common stock equivalents arising out of employee stock options and non-employee stock options and warrants.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used to calculate earnings per share are as follows:</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4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4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4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600" w:type="dxa"/>
            <w:vAlign w:val="bottom"/>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4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4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Restricted stock weighted average shares</w:t>
            </w: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5"/>
              </w:rPr>
              <w:t>Diluted weighted average shares used in the calculation of diluted earnings per share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subject to stock options and warrants included in the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determination of common stock equivalents for the calculation of diluted earnings per</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subject to stock options which were not included in the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calculation of diluted earnings per share because their impact is antidilutive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-1041400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-1041400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-1041400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-1041400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-1041400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-1041400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-1041400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-1041400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-466725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-466725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-466725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-466725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-466725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-466725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-466725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-466725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2001, we received a Summary Judgment from the United States District Court for the Southern District of Florida which ordered Donald F. Moorehead, Jr., Chairman of EarthCare Company (“EarthCare”) to pay us compensatory damages of approximately $5.0 million, plus interest from May 1, 2001. This judgment relates to Mr. Moorehead’s default on his agreement to purchase all of the shares of EarthCare stock owned by us for approximately $5.0 million. We received the EarthCare stock as part payment for the sale of our oil recycling operations in February 2000. From August 2001 to October 2001, we received principal and interest payments totaling $700 thousand from Mr. Moorehead. As of March 31, 2002, a receivable from Mr. Moorehead for approximately $4.3 million was included in Prepaid expenses and other current assets in the accompanying Condensed Consolidated Balance Sheets.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been pursuing collection of this judgment and, in May 2002, the court appointed a receiver to take possession and control of all nonexempt assets and property interests of Mr. Moorehead. As a result of the receiver’s activities, we received several offers from Mr. Moorehead to settle the outstanding balance on our judgment and received $350 thousand of principal and interest payments from Mr. Moorehead from May 2002 to August 2002, resulting in a total principal and interest collection of $1.1 million. Finally, in October 2002, we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received $3.0 million as a final payment to settle the remaining balance due on our judgment. Accordingly, in connection with the settlement, during the three and six months ended September 30, 2002, we recorded a non-recurring charge of $1.6 million, which includes $346 thousand of legal and receiver fees. The after-tax effect of this non-recurring charge was $970 thousand, or $0.09 per diluted share. Also, as of September 30, 2002, a receivable from Mr. Moorehead for $3.0 million was included in Prepaid expenses and other current assets in the accompanying Condensed Consolidated Balance Sheets, which receivable was paid as part of the October 2002 settlement.</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involved in other material legal proceedings described in Item 3 of our 10-K Report for the year ended March 31, 2002. There has been no material development in those proceedings since the filing of our 10-K Report.</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to the matters described above and in our 10-K Report for the year ended March 31, 2002, we are also involved in litigation and administrative proceedings primarily arising in the normal course of our business. In the opinion of management, except as set forth above or in our 10-K Report for the year ended March 31, 2002, our liability, if any, under any pending litigation or administrative proceedings will not materially affect our financial condition or results of operations.</w:t>
      </w:r>
    </w:p>
    <w:p>
      <w:pPr>
        <w:spacing w:after="0" w:line="124"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6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market fuel and related services, and have two reportable operating segments: marine and aviation fuel services. In our marine fuel services business, we market marine fuel and related management services to a broad base of international shipping companies and to the United States and foreign militaries.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United States and foreign militaries. We also offer flight plans and weather reports to our corporate customers.</w:t>
      </w:r>
    </w:p>
    <w:p>
      <w:pPr>
        <w:spacing w:after="0" w:line="13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Performance measurement and resource allocation for the reportable operating segments are based on many factors. One of the primary financial measures used is income from operations. We employ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 The accounting policies of the reportable operating segments are the same as those described in the Summary of Significant Accounting Policies. (See Note 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our operations by business segment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452"/>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7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center"/>
              <w:ind w:right="452"/>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7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8"/>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6"/>
          </w:tcPr>
          <w:p>
            <w:pPr>
              <w:jc w:val="center"/>
              <w:ind w:right="432"/>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21"/>
                <w:szCs w:val="21"/>
                <w:color w:val="auto"/>
              </w:rPr>
            </w:pPr>
          </w:p>
        </w:tc>
        <w:tc>
          <w:tcPr>
            <w:tcW w:w="17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00"/>
              <w:spacing w:after="0"/>
              <w:rPr>
                <w:sz w:val="20"/>
                <w:szCs w:val="20"/>
                <w:color w:val="auto"/>
              </w:rPr>
            </w:pPr>
            <w:r>
              <w:rPr>
                <w:rFonts w:ascii="Arial" w:cs="Arial" w:eastAsia="Arial" w:hAnsi="Arial"/>
                <w:sz w:val="18"/>
                <w:szCs w:val="18"/>
                <w:color w:val="auto"/>
              </w:rPr>
              <w:t>Marine fuel services</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340,472</w:t>
            </w:r>
          </w:p>
        </w:tc>
        <w:tc>
          <w:tcPr>
            <w:tcW w:w="4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$252,593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672,658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3"/>
              </w:rPr>
              <w:t>$486,699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Aviation fuel services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170,129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296,852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201,118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510,601</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$349,710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969,510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$687,817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00"/>
              <w:spacing w:after="0"/>
              <w:rPr>
                <w:sz w:val="20"/>
                <w:szCs w:val="20"/>
                <w:color w:val="auto"/>
              </w:rPr>
            </w:pPr>
            <w:r>
              <w:rPr>
                <w:rFonts w:ascii="Arial" w:cs="Arial" w:eastAsia="Arial" w:hAnsi="Arial"/>
                <w:sz w:val="18"/>
                <w:szCs w:val="18"/>
                <w:color w:val="auto"/>
              </w:rPr>
              <w:t>Marine fuel services</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Aviation fuel services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300"/>
              <w:spacing w:after="0"/>
              <w:rPr>
                <w:sz w:val="20"/>
                <w:szCs w:val="20"/>
                <w:color w:val="auto"/>
              </w:rPr>
            </w:pPr>
            <w:r>
              <w:rPr>
                <w:rFonts w:ascii="Arial" w:cs="Arial" w:eastAsia="Arial" w:hAnsi="Arial"/>
                <w:sz w:val="18"/>
                <w:szCs w:val="18"/>
                <w:color w:val="auto"/>
              </w:rPr>
              <w:t>Corporate overhead</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(7,979)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5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8"/>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 and notes receivable, net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20" w:type="dxa"/>
            <w:vAlign w:val="bottom"/>
            <w:gridSpan w:val="5"/>
          </w:tcPr>
          <w:p>
            <w:pPr>
              <w:ind w:left="380"/>
              <w:spacing w:after="0"/>
              <w:rPr>
                <w:sz w:val="20"/>
                <w:szCs w:val="20"/>
                <w:color w:val="auto"/>
              </w:rPr>
            </w:pPr>
            <w:r>
              <w:rPr>
                <w:rFonts w:ascii="Arial" w:cs="Arial" w:eastAsia="Arial" w:hAnsi="Arial"/>
                <w:sz w:val="18"/>
                <w:szCs w:val="18"/>
                <w:color w:val="auto"/>
                <w:w w:val="90"/>
              </w:rPr>
              <w:t>Marine fuel services, net of allowance for bad debts of $5,318 and $5,217 at September 30 and March 31, 2002,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560"/>
              <w:spacing w:after="0"/>
              <w:rPr>
                <w:sz w:val="20"/>
                <w:szCs w:val="20"/>
                <w:color w:val="auto"/>
              </w:rPr>
            </w:pPr>
            <w:r>
              <w:rPr>
                <w:rFonts w:ascii="Arial" w:cs="Arial" w:eastAsia="Arial" w:hAnsi="Arial"/>
                <w:sz w:val="18"/>
                <w:szCs w:val="18"/>
                <w:color w:val="auto"/>
              </w:rPr>
              <w:t>respectively</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118,086</w:t>
            </w:r>
          </w:p>
        </w:tc>
        <w:tc>
          <w:tcPr>
            <w:tcW w:w="34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100,912</w:t>
            </w:r>
          </w:p>
        </w:tc>
        <w:tc>
          <w:tcPr>
            <w:tcW w:w="0" w:type="dxa"/>
            <w:vAlign w:val="bottom"/>
          </w:tcPr>
          <w:p>
            <w:pPr>
              <w:spacing w:after="0"/>
              <w:rPr>
                <w:sz w:val="1"/>
                <w:szCs w:val="1"/>
                <w:color w:val="auto"/>
              </w:rPr>
            </w:pPr>
          </w:p>
        </w:tc>
      </w:tr>
      <w:tr>
        <w:trPr>
          <w:trHeight w:val="209"/>
        </w:trPr>
        <w:tc>
          <w:tcPr>
            <w:tcW w:w="85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89"/>
              </w:rPr>
              <w:t>Aviation fuel services, net of allowance for bad debts of $5,837 and $5,795 at September 30 and March 31, 2002,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respectively</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50,819</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168,905</w:t>
            </w:r>
          </w:p>
        </w:tc>
        <w:tc>
          <w:tcPr>
            <w:tcW w:w="3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132,586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Goodwill, identifiable intangible asset and investment goodwill</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80"/>
              <w:spacing w:after="0"/>
              <w:rPr>
                <w:sz w:val="20"/>
                <w:szCs w:val="20"/>
                <w:color w:val="auto"/>
              </w:rPr>
            </w:pPr>
            <w:r>
              <w:rPr>
                <w:rFonts w:ascii="Arial" w:cs="Arial" w:eastAsia="Arial" w:hAnsi="Arial"/>
                <w:sz w:val="18"/>
                <w:szCs w:val="18"/>
                <w:color w:val="auto"/>
              </w:rPr>
              <w:t>Marine fuel services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30,215</w:t>
            </w:r>
          </w:p>
        </w:tc>
        <w:tc>
          <w:tcPr>
            <w:tcW w:w="34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Aviation fuel services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38,424</w:t>
            </w:r>
          </w:p>
        </w:tc>
        <w:tc>
          <w:tcPr>
            <w:tcW w:w="3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80"/>
              <w:spacing w:after="0"/>
              <w:rPr>
                <w:sz w:val="20"/>
                <w:szCs w:val="20"/>
                <w:color w:val="auto"/>
              </w:rPr>
            </w:pPr>
            <w:r>
              <w:rPr>
                <w:rFonts w:ascii="Arial" w:cs="Arial" w:eastAsia="Arial" w:hAnsi="Arial"/>
                <w:sz w:val="18"/>
                <w:szCs w:val="18"/>
                <w:color w:val="auto"/>
              </w:rPr>
              <w:t>Marine fuel services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179,269</w:t>
            </w:r>
          </w:p>
        </w:tc>
        <w:tc>
          <w:tcPr>
            <w:tcW w:w="34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Aviation fuel services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106,231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13,298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298,798</w:t>
            </w:r>
          </w:p>
        </w:tc>
        <w:tc>
          <w:tcPr>
            <w:tcW w:w="3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257,923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2280" w:type="dxa"/>
            <w:vAlign w:val="bottom"/>
            <w:vMerge w:val="restart"/>
          </w:tcPr>
          <w:p>
            <w:pPr>
              <w:jc w:val="right"/>
              <w:ind w:right="15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1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-4871085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-4871085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-4871085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-4871085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-4871085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-4871085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-4871085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-4871085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-4871085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-4871085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-4871085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-4871085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-3876675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-3876675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-3876675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-3876675</wp:posOffset>
            </wp:positionV>
            <wp:extent cx="4584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-3876675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-3876675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-3876675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-3876675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-3876675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-3876675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-2221230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-2221230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-2221230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-2221230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-2221230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-2221230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-1363980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-1363980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-1363980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-1363980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-1363980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-1363980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-368935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-368935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-368935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-368935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-368935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-368935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RESULTS OF OPERATIONS</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“Item 1. Financial Statements” appearing elsewhere in this Form 10-Q, as well as our Form 10-K Report for the year ended March 31,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4"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have two reportable operating businesses: marine and aviation fuel services. In our marine fuel services business, we market marine fuel and related management services to a broad base of international shipping companies and to the United States and foreign militaries.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United States and foreign militaries. We also offer flight plans and weather reports to our corporate customers.</w:t>
      </w:r>
    </w:p>
    <w:p>
      <w:pPr>
        <w:spacing w:after="0" w:line="8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Performance measurement and resource allocation for the reportable operating segments are based on many factors. Two of our primary financial measures used are revenue and income from operations. Our marine fuel business accounted for approximately 67% and 72% of our total revenue for the three months ended September 30, 2002 and 2001, respectively, and approximately 69% and 71% of our total revenue for the six months ended September 30, 2002 and 2001, respectively. Our aviation fuel business accounted for the remaining 33% and 28% of total revenue for the three months ended September 30, 2002 and 2001, respectively, and approximately 31% and 29% of our total revenue for the six months ended September 30, 2002 and 2001, respectively. Excluding corporate overhead, our marine fuel services and our aviation fuel services contributed 36% and 64%, respectively, of operating income for the three months ended September 30, 2002, as compared to 56% and 44% for the three months ended September 30, 2001, respectively. For the six months ended September 30, 2002, excluding corporate overhead, our marine fuel services and our aviation fuel services contributed 38% and 62%, respectively, of operating income, as compared to 56% and 44% for the six months ended September 30, 2001, respectively. The shift of the contribution percentage of operating income between our marine and aviation segments is due to lower gross profit in marine related to the continued weakness in the shipping markets and to resultant increased competitive pressures, as described below in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income taxes, goodwill and identifiable intangible asset,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accounting policies, see Note 1 of the “Notes to the Consolidated Financial Statements” in Item 14 of our 10-K Report for the year ended March 31, 2002.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5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Revenue is generally recorded in the period when the sale is made or as the services are performed. We contract with unrelated third parties to provide the fuel and/or deliver most services. This causes delays in receiving the necessary information for invoicing to our customers. Accordingly, revenue may be recognized in a period subsequent to when the actual delivery of fuel or service was performed. This policy does not result in reported results that are materially different than if the revenue were recognized in the period of actual delivery or performance.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Bad Debts</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ensuring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experience and any specific customer collection issues that we have identified. Accounts receivable are reduced by an allowance for amounts that may become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uncollectible in the future. Such allowances can be either specific to a particular customer or general to all customers in each of our two business segments. As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September 30 and March 31, 2002, we had accounts and notes receivable of $168.9 million and $132.6 million, respectively, net of allowance for bad debts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$11.2 million and $11.0 million, respectively. In each period, the allowance for bad debts included a specific allowance of $3.0 million for one aviation customer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representing the entire accounts receivable balance for that customer. Our remaining allowance of $8.2 million and $8.0 million at September 30 and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2002, respectively, are general for all other customers.</w:t>
      </w:r>
    </w:p>
    <w:p>
      <w:pPr>
        <w:spacing w:after="0" w:line="1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the level of our allowance for bad debts is reasonable based on our experience and our analysis of the net realizable value of our trade receivables at September 30, 2002. We cannot guarantee that we will continue to experience the same credit loss rates that we have experienced in the past since adverse changes in the marine and aviation industries, or changes in the liquidity or financial position of our customers, could have a material adverse effect on the collectability of our accounts receivable and our future operating results. If credit losses exceed established allowances, our results of operation and financial condition may be adversely affected. For additional information on the credit risks inherent in our business, see “Risk Factors” in Item 1 of our 10-K Report for the year ended March 31, 2002.</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Identifiable Intangible Asset and Investment Goodwill</w:t>
      </w:r>
    </w:p>
    <w:p>
      <w:pPr>
        <w:spacing w:after="0" w:line="15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Goodwill and investment goodwill represent our cost or investment in excess of net assets, including identifiable intangible asset, of the acquired companies. Investment goodwill of $2.9 million was included in Other assets in the accompanying Condensed Consolidated Balance Sheets at September 30 and March 31, 2002. The identifiable intangible asset for customer relations existing at the date of acquisition was recorded and is being amortized over its useful life of five years. Effective April 1, 2001, as permitted, we elected to early adopt Statement of Financial Accounting Standards (“SFAS”) No. 142, “Goodwill and Other Intangible Assets.” SFAS No. 142 established accounting and reporting standards for acquired goodwill and other intangible assets, and states that goodwill shall not be amortized prospectively. Accordingly, for the three and six months ended September 30, 2002 and 2001, no goodwill amortization was recorded. For the three and six months ended September 30, 2002, we amortized $92 thousand and $184 thousand of our identifiable intangible asset, respectively.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In accordance with SFAS No. 142, we were required to perform a transitional impairment review of our goodwill as of April 1, 2001 and an annual impairment review thereafter. In September 2001 and 2002, we completed the initial step of the transitional and annual goodwill impairment test as of April 1, 2001 and 2002, respectively. The initial step of the goodwill impairment test compares the fair value of a reporting unit with its carrying amount, including goodwill. Based on results of these comparisons, goodwill in each of our reporting units is not considered impaired.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Profit from our marine fuel services business is determined primarily by the volume and commission rate of brokering business generated and by the volume and gross profit achieved on sales, as well as the overall level of operating expenses, which may be significantly affected to the extent that we are required to provision for potential bad debts. Profit from our aviation fuel services business is directly related to the volume and the gross profit achieved on sales, as well as the overall level of operating expenses, which may be significantly affected to the extent that we are required to provision for potential bad debts.</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January 2002, we acquired the operations of the Oil Shipping group of companies. This acquisition forms part of our worldwide marine fuel marketing segment and was accounted for as a purchase. Accordingly, the results of operations of the Oil Shipping companies were included with our results since the date of acquisition.</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Comparing the three and six month periods ended September 30, 2002 and 2001, our profitability was favorably impacted in 2002 by increases in metric tons sold in marine and sales volume in aviation, and a lower provision for bad debts in aviation. Earnings were adversely affected by the executive severance charges, a non-recurring charge in connection with the settlement of the remaining balance on the Moorehead judgment, decreases in gross profit per metric ton sold in marine and gross profit per gallon sold in aviation, and increases in salaries and other operating expenses.</w:t>
      </w:r>
    </w:p>
    <w:p>
      <w:pPr>
        <w:spacing w:after="0" w:line="9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increase in metric tons sold in marine is due, in part, to our marine acquisition in January 2002. The increase in aviation sales volume is due to new commercial and government business, a recovery from the general slowdown in economic activity in the prior year, and increases in wholesale business and higher credit quality, lower margin business. Both the additional wholesale business and higher quality, lower margin business contributed to the decrease in the gross profit per gallon sold. In marine, the decrease in the gross profit per metric ton sold was primarily related to continued weakness in the shipping markets and to resultant increased competitive pressures.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experience decreases in future sales volume and margins as a result of continued weakness in the shipping market, continued conflicts and instability in the Middle East, Asia and Latin America, and military actions in response to the terrorist attacks of September 11th, as well as possible future terrorist activity and military conflicts. In addition, since the sharp decline in world oil prices soon after September 11th, world oil prices have been very volatile. We expect continued volatility in world oil prices as a result of the instability and conflicts in the Middle East. The volatility in world oil prices can adversely affect our customers’ business, and consequently our results of operations. See “Risk Factors” in Item 1 of our 10-K Report for the year ended March 31, 2002.</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September 30, 2002 Compared to Three Months Ended September 30, 2001</w:t>
      </w:r>
    </w:p>
    <w:p>
      <w:pPr>
        <w:spacing w:after="0" w:line="15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revenue for the three months ended September 30, 2002 was $510.6 million, an increase of $160.9 million, or 46.0%, as compared to revenue of $349.7 million for the corresponding period of the prior year. Our revenue during these periods was attributable to the following segments:</w:t>
      </w:r>
    </w:p>
    <w:p>
      <w:pPr>
        <w:spacing w:after="0" w:line="6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6"/>
          </w:tcPr>
          <w:p>
            <w:pPr>
              <w:jc w:val="center"/>
              <w:ind w:right="77"/>
              <w:spacing w:after="0"/>
              <w:rPr>
                <w:sz w:val="20"/>
                <w:szCs w:val="20"/>
                <w:color w:val="auto"/>
              </w:rPr>
            </w:pPr>
            <w:r>
              <w:rPr>
                <w:rFonts w:ascii="Arial" w:cs="Arial" w:eastAsia="Arial" w:hAnsi="Arial"/>
                <w:sz w:val="14"/>
                <w:szCs w:val="14"/>
                <w:b w:val="1"/>
                <w:bCs w:val="1"/>
                <w:color w:val="auto"/>
                <w:w w:val="87"/>
              </w:rPr>
              <w:t>Three Months Ended September 30,</w:t>
            </w:r>
          </w:p>
        </w:tc>
      </w:tr>
      <w:tr>
        <w:trPr>
          <w:trHeight w:val="95"/>
        </w:trPr>
        <w:tc>
          <w:tcPr>
            <w:tcW w:w="59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263"/>
        </w:trPr>
        <w:tc>
          <w:tcPr>
            <w:tcW w:w="5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4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77"/>
              <w:spacing w:after="0"/>
              <w:rPr>
                <w:sz w:val="20"/>
                <w:szCs w:val="20"/>
                <w:color w:val="auto"/>
              </w:rPr>
            </w:pPr>
            <w:r>
              <w:rPr>
                <w:rFonts w:ascii="Arial" w:cs="Arial" w:eastAsia="Arial" w:hAnsi="Arial"/>
                <w:sz w:val="14"/>
                <w:szCs w:val="14"/>
                <w:b w:val="1"/>
                <w:bCs w:val="1"/>
                <w:color w:val="auto"/>
              </w:rPr>
              <w:t>2001</w:t>
            </w:r>
          </w:p>
        </w:tc>
      </w:tr>
      <w:tr>
        <w:trPr>
          <w:trHeight w:val="95"/>
        </w:trPr>
        <w:tc>
          <w:tcPr>
            <w:tcW w:w="59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250"/>
        </w:trPr>
        <w:tc>
          <w:tcPr>
            <w:tcW w:w="5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5"/>
          </w:tcPr>
          <w:p>
            <w:pPr>
              <w:jc w:val="center"/>
              <w:ind w:left="562"/>
              <w:spacing w:after="0"/>
              <w:rPr>
                <w:sz w:val="20"/>
                <w:szCs w:val="20"/>
                <w:color w:val="auto"/>
              </w:rPr>
            </w:pPr>
            <w:r>
              <w:rPr>
                <w:rFonts w:ascii="Arial" w:cs="Arial" w:eastAsia="Arial" w:hAnsi="Arial"/>
                <w:sz w:val="14"/>
                <w:szCs w:val="14"/>
                <w:b w:val="1"/>
                <w:bCs w:val="1"/>
                <w:color w:val="auto"/>
                <w:w w:val="87"/>
              </w:rPr>
              <w:t>(In thousands)</w:t>
            </w:r>
          </w:p>
        </w:tc>
        <w:tc>
          <w:tcPr>
            <w:tcW w:w="800" w:type="dxa"/>
            <w:vAlign w:val="bottom"/>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340,472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252,593</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Aviation fuel services</w:t>
            </w: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170,129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97,117</w:t>
            </w:r>
          </w:p>
        </w:tc>
      </w:tr>
      <w:tr>
        <w:trPr>
          <w:trHeight w:val="102"/>
        </w:trPr>
        <w:tc>
          <w:tcPr>
            <w:tcW w:w="59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102"/>
        </w:trPr>
        <w:tc>
          <w:tcPr>
            <w:tcW w:w="5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16"/>
        </w:trPr>
        <w:tc>
          <w:tcPr>
            <w:tcW w:w="5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510,601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349,710</w:t>
            </w:r>
          </w:p>
        </w:tc>
      </w:tr>
      <w:tr>
        <w:trPr>
          <w:trHeight w:val="132"/>
        </w:trPr>
        <w:tc>
          <w:tcPr>
            <w:tcW w:w="59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55638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5638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marine fuel services segment contributed $340.5 million in revenue for the three months ended September 30, 2002, an increase of $87.9 million, or 34.8%, over the corresponding period of the prior year. The increase in revenue was due to a 21.6% increase in the volume of metric tons sold and an 11.0% increase in the average price per metric ton sold, which more than offset a 15.8% decrease in the volume of metric tons brokered. Our aviation fuel services segment contributed $170.1 million in revenue for the three months ended September 30, 2002, an increase of $73.0 million, or 75.2%, over the same period of the prior year. The increase in revenue was due to a 94.7% increase in the volume of gallons sold, partially offset by a 10.0% decrease in the average price per gallon sold.</w:t>
      </w:r>
    </w:p>
    <w:p>
      <w:pPr>
        <w:spacing w:after="0" w:line="13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gross profit of $20.1 million for the three months ended September 30, 2002 increased $2.3 million, or 12.6%, as compared to the corresponding period of the prior year. Our gross margin decreased from 5.1% for the three months ended September 30, 2001, to 3.9% for the three months ended September 30, 2002. Our marine fuel services segment achieved a 2.4% gross margin for the three months ended September 30, 2002, as compared to a 3.5% gross margin for the same period of the prior year. This decrease resulted from a lower average gross profit per metric ton sold and brokered as well as an increase in the average sales price per metric ton sold. Our aviation fuel services business achieved a 7.0% gross margin for the three months ended September 30, 2002, as compared to 9.4% for the same period during the prior year. This decrease was due to a lower gross profit per gallon sold.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Total operating expenses for the three months ended September 30, 2002 were $19.0 million, an increase of $5.9 million, or 44.5%, as compared to the same period of the prior year. Included in operating expenses for the three months ended September 30, 2002 were operating expenses of our marine companies acquired in January 2002 and executive severance charges of $4.5 million, of which $3.7 million related to our former Chief Executive Officer and the remaining amounts were for our former Chief Financial Officer, Chief Information Officer, and two other executives. The remaining increases in operating expenses were due to a higher provision for bad debts for marine, and increases in salaries and other operating expenses, partially offset by a lower provision for bad debts for aviation. The increase in other operating expenses was due, in part, to higher insurance costs and an increase in depreciation expense.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income from operations for the three months ended September 30, 2002 was $1.1 million, as compared to $4.7 million for the corresponding period of the prior year. Income from operations during these periods was attributable to the following segments:</w:t>
      </w:r>
    </w:p>
    <w:p>
      <w:pPr>
        <w:spacing w:after="0" w:line="114"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60325</wp:posOffset>
            </wp:positionV>
            <wp:extent cx="13976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2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770" w:type="dxa"/>
            <w:vAlign w:val="bottom"/>
          </w:tcPr>
          <w:p>
            <w:pPr>
              <w:jc w:val="right"/>
              <w:ind w:right="239"/>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36"/>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62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2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41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15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4,620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w:t>
            </w:r>
          </w:p>
        </w:tc>
        <w:tc>
          <w:tcPr>
            <w:tcW w:w="15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(6,153)</w:t>
            </w: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(1,528)</w:t>
            </w:r>
          </w:p>
        </w:tc>
      </w:tr>
      <w:tr>
        <w:trPr>
          <w:trHeight w:val="108"/>
        </w:trPr>
        <w:tc>
          <w:tcPr>
            <w:tcW w:w="62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50" w:type="dxa"/>
            <w:vAlign w:val="bottom"/>
          </w:tcPr>
          <w:p>
            <w:pPr>
              <w:spacing w:after="0"/>
              <w:rPr>
                <w:sz w:val="8"/>
                <w:szCs w:val="8"/>
                <w:color w:val="auto"/>
              </w:rPr>
            </w:pPr>
          </w:p>
        </w:tc>
        <w:tc>
          <w:tcPr>
            <w:tcW w:w="77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marine fuel services segment earned $2.6 million in income from operations for the three months ended September 30, 2002, as compared to $3.5 million for the corresponding period of the prior year. This decrease resulted primarily from a lower gross profit, higher operating expenses related to the marine acquisition in January 2002 and higher provision for bad debts, and an executive severance charge of $90 thousand. The aviation fuel services segment’s income from operations was $4.6 million for the three months ended September 30, 2002, an increase of $1.8 million, or 66.4%, as compared to the same period of the prior year. This improvement was due to a higher gross profit and lower provision for bad debts, partially offset by increased operating expenses related to business expansion and an executive severance charge of $141 thousand. Corporate overhead costs not charged to the business segments totaled $6.2 million for the three months ended September 30, 2002, as compared to $1.5 million during the same period of the prior year. The increase in corporate overhead costs is primarily due to executive severance charges of $4.3 million and increased other operating expenses, partially offset by lower salaries.</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three months ended September 30, 2002, we reported $1.5 million in other expense, net, as compared to other income, net, of $18 thousand for the same period of the prior year. This variance is primarily related to the $1.6 million non-recurring charge for the three months ended September 30, 2002 related to the settlement of the remaining balance on the Moorehead judgment.</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September 30, 2002, we recorded a net income tax benefit of $1.2 million, as compared to income tax provision of $1.1 million for the three months ended September 30, 2001. During the three months ended September 30, 2002, we recorded income tax benefit totaling approximately $2.3 million for the executive severance charges and the non-recurring charge in connection with the settlement of the remaining balance on the Moorehead judgment. Excluding these non-recurring charges and their related income tax benefit, we would have recorded an income tax provision of approximately $1.1 million for the three months ended September 30, 2002.</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 and diluted earnings per share for the three months ended September 30, 2002 were $747 thousand and $0.07, respectively,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$3.6 million and $0.34 during the same period of the prior year. Net income for the three months ended September 30, 2002 was impacted by two non-recurring,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after-tax charges totaling $3.8 million, or $0.34 per diluted share: the charge of $2.8 million, or $0.25 per diluted share, related to executive severance,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 of $970 thousand, or $0.09 per diluted share, related to the settlement of the remaining balance on the Moorehead judgment.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September 30, 2002 Compared to Six Months Ended September 30, 2001</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revenue for the six months ended September 30, 2002 was $969.5 million, an increase of $281.7 million, or 41.0%, as compared to revenue of $687.8 million for the corresponding period of the prior year. Our revenue during these periods was attributable to the following segments: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center"/>
              <w:ind w:right="37"/>
              <w:spacing w:after="0"/>
              <w:rPr>
                <w:sz w:val="20"/>
                <w:szCs w:val="20"/>
                <w:color w:val="auto"/>
              </w:rPr>
            </w:pPr>
            <w:r>
              <w:rPr>
                <w:rFonts w:ascii="Arial" w:cs="Arial" w:eastAsia="Arial" w:hAnsi="Arial"/>
                <w:sz w:val="14"/>
                <w:szCs w:val="14"/>
                <w:b w:val="1"/>
                <w:bCs w:val="1"/>
                <w:color w:val="auto"/>
                <w:w w:val="86"/>
              </w:rPr>
              <w:t>Six Months Ended September 30,</w:t>
            </w: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w w:val="89"/>
              </w:rPr>
              <w:t>2001</w:t>
            </w: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4"/>
          </w:tcPr>
          <w:p>
            <w:pPr>
              <w:jc w:val="center"/>
              <w:ind w:left="452"/>
              <w:spacing w:after="0"/>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672,658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486,699</w:t>
            </w: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w w:val="86"/>
              </w:rPr>
              <w:t>296,852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201,118</w:t>
            </w: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969,510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687,817</w:t>
            </w: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-27305</wp:posOffset>
            </wp:positionV>
            <wp:extent cx="13677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67790" cy="29845"/>
                    </a:xfrm>
                    <a:prstGeom prst="rect">
                      <a:avLst/>
                    </a:prstGeom>
                    <a:noFill/>
                  </pic:spPr>
                </pic:pic>
              </a:graphicData>
            </a:graphic>
          </wp:anchor>
        </w:drawing>
      </w:r>
    </w:p>
    <w:p>
      <w:pPr>
        <w:spacing w:after="0" w:line="22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marine fuel services segment contributed $672.6 million in revenue for the six months ended September 30, 2002, an increase of $186.0 million, or 38.2%, over the corresponding period of the prior year. The increase in revenue was due to a 29.9% increase in the volume of metric tons sold and a 6.7% increase in the average price per metric ton sold, which more than offset a 14.7% decrease in the volume of metric tons brokered. Our aviation fuel services segment contributed $296.9 million in revenue for the six months ended September 30, 2002, an increase of $95.7 million, or 47.6%, over the same period of the prior year. The increase in revenue was due to a 68.1% increase in the volume of gallons sold, partially offset by a 12.2% decrease in the average price per gallon sold.</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gross profit of $40.2 million for the six months ended September 30, 2002 increased $4.1 million, or 11.2%, as compared to the corresponding period of the prior year. Our gross margin decreased from 5.3% for the six months ended September 30, 2001, to 4.2% for the six months ended September 30, 2002. Our marine fuel services segment achieved a 2.6% gross margin for the six months ended September 30, 2002, as compared to a 3.8% gross margin for the same period of the prior year. This decrease resulted from a lower average gross profit per metric ton sold and brokered as well as an increase in the average sales price per metric ton sold. Our aviation fuel services business achieved a 7.7% gross margin for the six months ended September 30, 2002, as compared to 8.9% for the same period during the prior year. This decrease was due to a lower gross profit per gallon sold.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Total operating expenses for the six months ended September 30, 2002 were $33.3 million, an increase of $6.4 million, or 24.0%, as compared to the same period of the prior year. Included in operating expenses for the six months ended September 30, 2002 were operating expenses of our marine companies acquired in January 2002 and executive severance charges of $4.5 million, of which $3.7 million related to our former Chief Executive Officer and the remaining amounts were for our former Chief Financial Officer, Chief Information Officer, and two other executives. Operating expenses for the six months ended September 30, 2001 included reimbursement of legal fees associated with a class action lawsuit dismissed in December 2000. The remaining increase in operating expenses were due to a higher provision for bad debts for marine, and increases in salaries and other operating expenses, partially offset by a lower provision for bad debts for aviation and a reimbursement of legal fees associated with prior years’ insurance claims in the marine segment. The increase in other operating expenses was due, in part, to higher insurance costs and increases in travel and depreciation expense.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income from operations for the six months ended September 30, 2002 was $7.0 million, as compared to $9.3 million for the corresponding period of the prior year. Income from operations during these periods was attributable to the following segments:</w:t>
      </w:r>
    </w:p>
    <w:p>
      <w:pPr>
        <w:spacing w:after="0" w:line="11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Six Months Ended September</w:t>
      </w:r>
    </w:p>
    <w:p>
      <w:pPr>
        <w:spacing w:after="0" w:line="1"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60325</wp:posOffset>
            </wp:positionV>
            <wp:extent cx="12007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30" w:type="dxa"/>
            <w:vAlign w:val="bottom"/>
          </w:tcPr>
          <w:p>
            <w:pPr>
              <w:jc w:val="right"/>
              <w:ind w:right="159"/>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185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321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9,259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(3,242)</w:t>
            </w: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21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marine fuel services segment earned $5.7 million in income from operations for the six months ended September 30, 2002, as compared to $7.0 million for the corresponding period of the prior year. This decrease resulted from a lower gross profit, higher operating expenses related to the marine acquisition in January 2002 and higher provision for bad debts, and an executive severance charge of $90 thousand, partially offset by a reimbursement of legal fees associated with prior years’ insurance claims. The aviation fuel services segment’s income from operations was $9.3 million for the six months ended September 30, 2002, an increase of $3.7 million, or 65.4%, as compared to the same period of the prior year. This improvement was due to a higher gross profit and lower provision for bad debts, partially offset by increased operating expenses related to business expansion and an executive severance charge of $141 thousand. Corporate overhead costs not charged to the business segments totaled $8.0 million for the six months ended September 30, 2002, as compared to $3.2 million during the same period of the prior year. The increase in corporate overhead costs is primarily due to executive severance charges of $4.3 million and increased other operating expenses, partially offset by lower salaries. In addition, operating expenses for the six months ended September 30, 2001 included a reimbursement of legal fees associated with a class action lawsuit dismissed in December 2000.</w:t>
      </w:r>
    </w:p>
    <w:p>
      <w:pPr>
        <w:spacing w:after="0" w:line="10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six months ended September 30, 2002, we reported $1.8 million in other expense, net, as compared to other income, net, of $1.3 million for the same period of the prior year. Included in other expense, net, for the six months ended September 30, 2002, was the $1.6 million non-recurring charge in connection with the settlement of the remaining balance on the Moorehead judgment. Included in other income, net, for the six months ended September 30, 2001, was a $1.0 million insurance settlement recovery related to a fiscal 2000 theft of product off the coast of Nigeria. The remaining variance of $525 thousand was primarily related to lower net interest income, and higher unrealized foreign currency translation loss recorded during the six months ended September 30, 2002, resulting from the translating of monetary assets and liabilities of our non-U.S. entities at the prevailing exchange rates at September 30, 2002, partially offsetting were lower net foreign currency exchange losses on transactions during the six months ended September 30, 2002 as compared to the same period of the prior year.</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six months ended September 30, 2002, we recorded a net income tax benefit of $27 thousand, as compared to income tax provision of $2.3 million for the six months ended September 30, 2001. During the six months ended September 30, 2002, we recorded income tax benefit totaling approximately $2.3 million for the executive severance charges and the non-recurring charge in connection with the settlement of the remaining balance on the Moorehead judgment. Excluding these non-recurring charges and their related income tax benefit, we would have recorded an income tax provision of approximately $2.3 million for the six months ended September 30, 2002.</w:t>
      </w:r>
    </w:p>
    <w:p>
      <w:pPr>
        <w:spacing w:after="0" w:line="12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Net income and diluted earnings per share for the six months ended September 30, 2002 were $5.2 million and $0.48, respectively, as compared to $8.3 million and $0.78 during the same period of the prior year. Net income for the six months ended September 30, 2002 was impacted by two non-recurring, after-tax charges totaling $3.8 million, or $0.34 per diluted share: the charge of $2.8 million, or $0.25 per diluted share, related to executive severance, and the charge of $970 thousand, or $0.09 per diluted share, related to the settlement of the remaining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balance on the Moorehead judgment. In addition, net income for the six months ended September 30, 2001 included a non-recurring credit of $1.0 million, or $0.09 per diluted share, from the insurance settlement recovery related to a fiscal 2000 theft of product off the coast of Nigeria.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our marine and aviation fuel businesses, the primary use of working capital is to finance receivables. We maintain aviation fuel inventories at certain locations in the United States, mostly for competitive reasons. Our marine and aviation fuel businesses historically have not required significant capital investment in fixed assets as we subcontract fueling services and maintain inventories at third party storage facilities. We have funded our operations primarily with cash flow generated from operations. As of September 30, 2002, we had $55.3 million of cash and cash equivalents as compared to $58.2 million at March 31, 2002. We also have a revolving credit facility for $30.0 million with a sublimit of $25.0 million for letters of credit. Our available borrowings under the credit facility are reduced by the amount of outstanding letters of credit. As of September 30, 2002, we have borrowed $5.0 million and issued letters of credit of $14.6 million under the credit facility.</w:t>
      </w:r>
    </w:p>
    <w:p>
      <w:pPr>
        <w:spacing w:after="0" w:line="13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credit facility imposes certain operating and financial restrictions, including restrictions on the payment of dividends in excess of specified amounts. Our failure to comply with the obligations under the credit facility, including meeting certain financial ratios, could result in an event of default. An event of default, if not cured or waived, would permit acceleration of any outstanding indebtedness under the credit facility, or impair our ability to receive advances. As of September 30, 2002, we were in compliance with the operating and financial requirements under the credit facility.</w:t>
      </w:r>
    </w:p>
    <w:p>
      <w:pPr>
        <w:spacing w:after="0" w:line="9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Net cash used in continuing operating activities totaled $2.4 million for the six months ended September 30, 2002, as compared to net cash provided from operating activities of $11.4 million for the corresponding period of the prior year. The variance in cash flows from continuing operating activities of $13.8 million was primarily a result of increases in net operating assets mainly due to increased business volume for both our marine and aviation fuel services segments. Cash provided by discontinued operations of $1.75 million during the six months ended September 30, 2001 was for the settlement payment from EarthCare Company on the remaining discontinued operating assets sold in fiscal 2000.</w:t>
      </w:r>
    </w:p>
    <w:p>
      <w:pPr>
        <w:spacing w:after="0" w:line="10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During the six months ended September 30, 2002, net cash used in investing activities was $997 thousand, a decrease of $2.9 million as compared to the same period of the prior year. This decrease reflects the acquisition of the Marine Energy group of companies in April 2001.</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provided by financing activities was $520 thousand for the six months ended September 30, 2002, as compared to net cash used in financing activities of $4.9 million for the corresponding period of the prior year. The variance in cash flows from financing activities of $5.5 million reflects the $5.0 million net borrowings under our revolving credit facility during the six months ended September 30, 2002 and the $1.2 million purchase of treasury stock during the six months ended September 30, 2001. The remaining variance was due to a reduction in the payments of dividends and increases in employees’ exercise of stock options and repayment of debt.</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Working capital at September 30, 2002 was $85.5 million, representing an increase of $6.2 million from working capital at March 31, 2002. Our accounts and notes receivable, at September 30, 2002, excluding the allowance for bad debts, amounted to $180.1 million, an increase of $36.5 million, as compared to the balance at March 31, 2002. This increase is mostly related to increased sales volume for both our marine and aviation segments. At September 30, 2002, the allowance for bad debts of $11.2 million increased by $143 thousand from the balance at March 31, 2002. During the six months ended September 30, 2002, we charged $1.4 million to the provision for bad debts, as compared to $2.2 million for same period of the prior year. We had charge-offs in excess of recoveries of $1.3 million for the six months ended September 30, 2002, as compared to $2.5 million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corresponding period of the prior year. The decreases in our provision for bad debts and charge-offs primarily reflect the refinement in our credit practices that resulted in an overall improvement in Days Sales Outstanding (DSO) to 31 days for the first six months of the current fiscal year versus 34 days for the first six months of the prior year.</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September 30, 2002, prepaid expenses and other current assets of $22.3 million increased $2.1 million from March 31, 2002. This increase was due to increases in prepaid fuel, prepaid insurance, income tax receivable, and the fair market value of our outstanding derivatives, partially offset by decreases in deferred income tax assets and the remaining balance on the Moorehead judgment. Net goodwill, identifiable intangible asset, and investment goodwill decreased $184 thousand, to $38.4 million, due to the amortization of the identifiable intangible asset.</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aggregate, accounts payable, accrued expenses and other current liabilities increased $37.3 million primarily due to increased business activity in both our marine and aviation segments. Our long-term debt, including current maturities, increased by $743 thousand due to net borrowings under our revolving credit facility, partially offset by principal payments of prior years’ acquisition promissory notes.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Stockholders’ equity amounted to $122.2 million at September 30, 2002, as compared to $116.4 million at March 31, 2002. The increase in stockholders’ equity was primarily due to $5.2 million in earnings and $1.9 million from the exercise of stock options, including income tax benefit of $379 thousand related to the exercise of the options. The increase was partially offset by the declaration of dividends of $1.6 million during the six months ended September 30, 2002.</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believe that available funds from existing cash and cash equivalents, our credit facility, and cash flows generated by operations will be sufficient to fund our working capital and capital expenditure requirements for the next twelve months. Our opinions concerning liquidity and our ability to obtain financing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financing, include our performance (as measured by various factors including cash provided from operating activities), the state of worldwide credit markets, and our levels of outstanding debt. In addition, we may decide to raise additional funds to respond to competitive pressures or to acquire complementary businesses. Accordingly, we cannot guarantee that financing will be available when needed or desired on terms favorable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for changes in our lease commitments and employment agreements, as described below, our contractual obligations, commercial commitments and off-balance sheet arrangements did not change materially from March 31, 2002 to September 30, 2002. For a discussion of these matters, refer to “Contractual Obligations, Commercial Commitments and Off-Balance Sheet Arrangements” in Item 7 of our 10-K Report for the year ended March 31, 2002. See also “Item 3. Quantitative and Qualitative Disclosures About Market Risk,” included in this Form 10-Q, for additional information regarding purchase and sale commitments and derivatives, and market risk.</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15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June 2002, we entered into a ten-year lease for approximately 34 thousand square feet of office space to be used as our Miami headquarters office. Rent payments range from $36 thousand per month in April 2003 to $47 thousand per month in March 2013, the last month of the lease.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2002, after giving effect to the new lease described above, our future minimum lease payments under non-cancelable operating leases for rental properties which have an initial term in excess of one year were as follows: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15"/>
              <w:spacing w:after="0"/>
              <w:rPr>
                <w:sz w:val="20"/>
                <w:szCs w:val="20"/>
                <w:color w:val="auto"/>
              </w:rPr>
            </w:pPr>
            <w:r>
              <w:rPr>
                <w:rFonts w:ascii="Arial" w:cs="Arial" w:eastAsia="Arial" w:hAnsi="Arial"/>
                <w:sz w:val="14"/>
                <w:szCs w:val="14"/>
                <w:b w:val="1"/>
                <w:bCs w:val="1"/>
                <w:color w:val="auto"/>
                <w:w w:val="97"/>
              </w:rPr>
              <w:t>(In thousands)</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Twelve months ending September 30,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2003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108"/>
        </w:trPr>
        <w:tc>
          <w:tcPr>
            <w:tcW w:w="7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r>
        <w:trPr>
          <w:trHeight w:val="102"/>
        </w:trPr>
        <w:tc>
          <w:tcPr>
            <w:tcW w:w="7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16"/>
        </w:trPr>
        <w:tc>
          <w:tcPr>
            <w:tcW w:w="7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r>
    </w:tbl>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Under our normal course of business, we may enter into non-cancelable operating leases for office and computer equipment, and service contracts with minimum service fee commitments for telecommunication, and computer data and document storage. As of September 30, 2002, there were no material non-cancelable operating leases for office and computer equipment or service contracts with minimum service fee commitments.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promotion of our new Chairman and Chief Executive Officer (“CEO”) and new President and Chief Operating Officer (“COO”)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their respective positions, in July 2002, they received increases in their base salary, grants of restricted common stock, and an extension of their employment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agreements to July 2007. Our Chairman and CEO received an increase in his base salary of $25 thousand to an annual base salary of $525 thousand, and a grant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25 thousand shares of restricted common stock. Our President and COO received an increase in his base salary of $22 thousand to an annual base salary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$460 thousand, and a grant of 22 thousand shares of restricted common stock. The restricted common stock grants for both our CEO and COO shall vest in three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equal installments in July 2005, 2006, and 2007. In addition, effective April 1, 2002, our CEO and COO are eligible to receive an annual bonus payable upon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achievement of performance targets, which targets are based on basic earnings per share growth from the preceding fiscal year. The bonus payout may range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50% of base salary if at least 80% of the annual target goal is achieved, to 200% of base salary if results exceed the annual target goal by 20% or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targets are set by our Board of Directors’ Compensation Committee each year, pursuant to an Annual Incentive Plan adopted by our Board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4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To take advantage of favorable market conditions or for competitive reasons, we enter into short-term cancelable fuel purchase commitments for the physical delivery of product. We simultaneously may hedge the physical delivery of fuel through a commodity based derivative instrument, to minimize the effects of commodity price fluctuations.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offer to our marine and aviation customers fixed fuel prices on future sales, generally involving the physical delivery of fuel, as part of our fuel management services. Typically, we simultaneously enter into a commodity based derivative instrument with a counterparty to hedge our variable fuel price on related future purchases for the physical delivery of fuel. For non-physical delivery of fuel, we simultaneously enter into commodity based derivative instruments with a counterparty. The counterparties are major oil companies and derivative trading firms. Accordingly, we do not anticipate non-performance by such counterparties. Pursuant to these transactions, we are not affected by market price fluctuations since the contracts have the same terms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conditions except for the fee or spread earned by us. Performance risk under these contracts is considered a credit risk. This risk is minimized by dealing with customers meeting stricter credit criteria.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not use derivative financial instruments for speculative purposes.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September 30, 2002, we had 13 outstanding swap contracts totaling 15 thousand metric tons of marine fuel and 9 outstanding swap contracts totaling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18.9 million gallons of aviation fuel; these swap contracts mature as follows:</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4"/>
                <w:szCs w:val="14"/>
                <w:b w:val="1"/>
                <w:bCs w:val="1"/>
                <w:color w:val="auto"/>
              </w:rPr>
              <w:t>Marine Fuel</w:t>
            </w:r>
          </w:p>
        </w:tc>
        <w:tc>
          <w:tcPr>
            <w:tcW w:w="30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Aviation Fuel</w:t>
            </w:r>
          </w:p>
        </w:tc>
      </w:tr>
      <w:tr>
        <w:trPr>
          <w:trHeight w:val="174"/>
        </w:trPr>
        <w:tc>
          <w:tcPr>
            <w:tcW w:w="7500" w:type="dxa"/>
            <w:vAlign w:val="bottom"/>
            <w:gridSpan w:val="3"/>
          </w:tcPr>
          <w:p>
            <w:pPr>
              <w:spacing w:after="0"/>
              <w:rPr>
                <w:sz w:val="20"/>
                <w:szCs w:val="20"/>
                <w:color w:val="auto"/>
              </w:rPr>
            </w:pPr>
            <w:r>
              <w:rPr>
                <w:rFonts w:ascii="Arial" w:cs="Arial" w:eastAsia="Arial" w:hAnsi="Arial"/>
                <w:sz w:val="14"/>
                <w:szCs w:val="14"/>
                <w:b w:val="1"/>
                <w:bCs w:val="1"/>
                <w:color w:val="auto"/>
              </w:rPr>
              <w:t>Month of Maturity</w:t>
            </w:r>
          </w:p>
        </w:tc>
        <w:tc>
          <w:tcPr>
            <w:tcW w:w="900" w:type="dxa"/>
            <w:vAlign w:val="bottom"/>
          </w:tcPr>
          <w:p>
            <w:pPr>
              <w:jc w:val="right"/>
              <w:ind w:right="1"/>
              <w:spacing w:after="0"/>
              <w:rPr>
                <w:sz w:val="20"/>
                <w:szCs w:val="20"/>
                <w:color w:val="auto"/>
              </w:rPr>
            </w:pPr>
            <w:r>
              <w:rPr>
                <w:rFonts w:ascii="Arial" w:cs="Arial" w:eastAsia="Arial" w:hAnsi="Arial"/>
                <w:sz w:val="14"/>
                <w:szCs w:val="14"/>
                <w:b w:val="1"/>
                <w:bCs w:val="1"/>
                <w:color w:val="auto"/>
                <w:w w:val="94"/>
              </w:rPr>
              <w:t>(metric tons)</w:t>
            </w:r>
          </w:p>
        </w:tc>
        <w:tc>
          <w:tcPr>
            <w:tcW w:w="300" w:type="dxa"/>
            <w:vAlign w:val="bottom"/>
          </w:tcPr>
          <w:p>
            <w:pPr>
              <w:spacing w:after="0"/>
              <w:rPr>
                <w:sz w:val="15"/>
                <w:szCs w:val="15"/>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(gallons)</w:t>
            </w:r>
          </w:p>
        </w:tc>
      </w:tr>
      <w:tr>
        <w:trPr>
          <w:trHeight w:val="95"/>
        </w:trPr>
        <w:tc>
          <w:tcPr>
            <w:tcW w:w="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2002 to December 2002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January 2003 to March 2003</w:t>
            </w: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2003 to June 2003</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108"/>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w:t>
            </w:r>
          </w:p>
        </w:tc>
      </w:tr>
    </w:tbl>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Effective April 1, 2001, we adopted SFAS No. 133, “Accounting for Derivative Instruments and Hedging Activities,” as amended by SFAS No. 138, “Accounting for Derivative Instruments and Certain Hedging Activities-an amendment of FASB Statement No. 133.” SFAS No. 133, as amended, establishes accounting and reporting standards for every derivative instrument, including certain derivative instruments embedded in other contracts.</w:t>
      </w:r>
    </w:p>
    <w:p>
      <w:pPr>
        <w:spacing w:after="0" w:line="9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of September 30 and March 31, 2002, our derivatives consisted of swap contracts to hedge fixed fuel prices on future sales to our customers with, or without, physical delivery of fuel. As of September 30 and March 31, 2002, these contracts were recorded at their fair market value of $3.4 million and $1.9 million, respectively, which amounts were included as Prepaid expenses and other current assets and Accrued expenses in the accompanying Condensed Consolidated Balance Sheets.</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 the vast majority of our business transactions in U.S. dollars. However, in certain markets, primarily in Mexico, payments to our aviation fuel supplier are denominated in local currency. In addition, in Mexico, payments from some of our customers are also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w:t>
      </w:r>
    </w:p>
    <w:p>
      <w:pPr>
        <w:spacing w:after="0" w:line="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4"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Our Chief Executive Officer and Chief Financial Officer have concluded, based on their evaluation within 90 days of the filing date of this report, that our disclosure controls and procedures are effective for gathering, analyzing and disclosing the information we are required to disclose in our reports filed under the Securities Exchange Act of 1934. There have been no significant changes in our internal controls or in other factors that could significantly affect these controls subsequent to the date of the previously mentioned evaluation.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PART II.</w:t>
        <w:tab/>
        <w:t>OTHER INFORMATION</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July 2001, we received a Summary Judgment from the United States District Court for the Southern District of Florida which ordered Donald F. Moorehead, Jr., Chairman of EarthCare Company (“EarthCare”) to pay us compensatory damages of approximately $5.0 million, plus interest from May 1, 2001. This judgment relates to Mr. Moorehead’s default on his agreement to purchase all of the shares of EarthCare stock owned by us for approximately $5.0 million. We received the EarthCare stock as part payment for the sale of our oil recycling operations in February 2000. From August 2001 to October 2001, we received principal and interest payments totaling $700 thousand from Mr. Moorehead. As of March 31, 2002, a receivable from Mr. Moorehead for approximately $4.3 million was included in Prepaid expenses and other current assets in the accompanying Condensed Consolidated Balance Sheets.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been pursuing collection of this judgment and, in May 2002, the court appointed a receiver to take possession and control of all nonexempt assets and property interests of Mr. Moorehead. As a result of the receiver’s activities, we received several offers from Mr. Moorehead to settle the outstanding balance on our judgment and received $350 thousand of principal and interest payments from Mr. Moorehead from May 2002 to August 2002, resulting in a total principal and interest collection of $1.1 million. Finally, in October 2002, we received $3.0 million as a final payment to settle the remaining balance due on our judgment. Accordingly, in connection with the settlement, during the three and six months ended September 30, 2002, we recorded a non-recurring charge of $1.6 million, which includes $346 thousand of legal and receiver fees. The after-tax effect of this non-recurring charge was $970 thousand, or $0.09 per diluted share. Also, as of September 30, 2002, a receivable from Mr. Moorehead for $3.0 million was included in Prepaid expenses and other current assets in the accompanying Condensed Consolidated Balance Sheets, which receivable was paid as part of the October 2002 settlement.</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involved in other material legal proceedings described in Item 3 of our 10-K Report for the year ended March 31, 2002. There has been no material development in those proceedings since the filing of our 10-K Report.</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to the matters described above and in our 10-K Report for the year ended March 31, 2002, we are also involved in litigation and administrative proceedings primarily arising in the normal course of our business. In the opinion of management, except as set forth above or in our 10-K Report for the year ended March 31, 2002, our liability, if any, under any pending litigation or administrative proceedings will not materially affect our financial condition or results of operations.</w:t>
      </w:r>
    </w:p>
    <w:p>
      <w:pPr>
        <w:spacing w:after="0" w:line="12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CHANGES IN SECURITIES AND 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annual meeting of stockholders was held on August 27, 2002. The only matter voted on at the annual meeting was the election of directors. All of our director nominees were elected. The following table sets forth the voting to elect our Board of Directors at the annual meeting:</w:t>
      </w:r>
    </w:p>
    <w:p>
      <w:pPr>
        <w:spacing w:after="0" w:line="6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Name of Director</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Votes For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2"/>
              </w:rPr>
              <w:t>Votes Against</w:t>
            </w:r>
          </w:p>
        </w:tc>
      </w:tr>
      <w:tr>
        <w:trPr>
          <w:trHeight w:val="95"/>
        </w:trPr>
        <w:tc>
          <w:tcPr>
            <w:tcW w:w="132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102"/>
        </w:trPr>
        <w:tc>
          <w:tcPr>
            <w:tcW w:w="13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8,044,102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1,752,916</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Michael J. Kasbar</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8,044,102</w:t>
            </w:r>
          </w:p>
        </w:tc>
        <w:tc>
          <w:tcPr>
            <w:tcW w:w="960" w:type="dxa"/>
            <w:vAlign w:val="bottom"/>
          </w:tcPr>
          <w:p>
            <w:pPr>
              <w:jc w:val="right"/>
              <w:spacing w:after="0"/>
              <w:rPr>
                <w:sz w:val="20"/>
                <w:szCs w:val="20"/>
                <w:color w:val="auto"/>
              </w:rPr>
            </w:pPr>
            <w:r>
              <w:rPr>
                <w:rFonts w:ascii="Arial" w:cs="Arial" w:eastAsia="Arial" w:hAnsi="Arial"/>
                <w:sz w:val="18"/>
                <w:szCs w:val="18"/>
                <w:color w:val="auto"/>
              </w:rPr>
              <w:t>1,752,916</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Benbow</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9,409,797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387,221</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Ralph R. Feuerring</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9,429,797</w:t>
            </w:r>
          </w:p>
        </w:tc>
        <w:tc>
          <w:tcPr>
            <w:tcW w:w="960" w:type="dxa"/>
            <w:vAlign w:val="bottom"/>
          </w:tcPr>
          <w:p>
            <w:pPr>
              <w:jc w:val="right"/>
              <w:spacing w:after="0"/>
              <w:rPr>
                <w:sz w:val="20"/>
                <w:szCs w:val="20"/>
                <w:color w:val="auto"/>
              </w:rPr>
            </w:pPr>
            <w:r>
              <w:rPr>
                <w:rFonts w:ascii="Arial" w:cs="Arial" w:eastAsia="Arial" w:hAnsi="Arial"/>
                <w:sz w:val="18"/>
                <w:szCs w:val="18"/>
                <w:color w:val="auto"/>
              </w:rPr>
              <w:t>367,221</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Myles Klein</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9,409,797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387,221</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Jerome Sidel</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9,409,797</w:t>
            </w:r>
          </w:p>
        </w:tc>
        <w:tc>
          <w:tcPr>
            <w:tcW w:w="960" w:type="dxa"/>
            <w:vAlign w:val="bottom"/>
          </w:tcPr>
          <w:p>
            <w:pPr>
              <w:jc w:val="right"/>
              <w:spacing w:after="0"/>
              <w:rPr>
                <w:sz w:val="20"/>
                <w:szCs w:val="20"/>
                <w:color w:val="auto"/>
              </w:rPr>
            </w:pPr>
            <w:r>
              <w:rPr>
                <w:rFonts w:ascii="Arial" w:cs="Arial" w:eastAsia="Arial" w:hAnsi="Arial"/>
                <w:sz w:val="18"/>
                <w:szCs w:val="18"/>
                <w:color w:val="auto"/>
              </w:rPr>
              <w:t>387,221</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 R. Tinoco</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9,429,797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367,221</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Ken Bakshi</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9,429,797</w:t>
            </w:r>
          </w:p>
        </w:tc>
        <w:tc>
          <w:tcPr>
            <w:tcW w:w="960" w:type="dxa"/>
            <w:vAlign w:val="bottom"/>
          </w:tcPr>
          <w:p>
            <w:pPr>
              <w:jc w:val="right"/>
              <w:spacing w:after="0"/>
              <w:rPr>
                <w:sz w:val="20"/>
                <w:szCs w:val="20"/>
                <w:color w:val="auto"/>
              </w:rPr>
            </w:pPr>
            <w:r>
              <w:rPr>
                <w:rFonts w:ascii="Arial" w:cs="Arial" w:eastAsia="Arial" w:hAnsi="Arial"/>
                <w:sz w:val="18"/>
                <w:szCs w:val="18"/>
                <w:color w:val="auto"/>
              </w:rPr>
              <w:t>367,221</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Kassar</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9,429,797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367,221</w:t>
            </w:r>
          </w:p>
        </w:tc>
      </w:tr>
    </w:tbl>
    <w:p>
      <w:pPr>
        <w:spacing w:after="0" w:line="1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tab/>
        <w:t>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exhibits set forth in the following index of exhibits are filed as part of this report:</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000" w:type="dxa"/>
            <w:vAlign w:val="bottom"/>
          </w:tcPr>
          <w:p>
            <w:pPr>
              <w:spacing w:after="0"/>
              <w:rPr>
                <w:sz w:val="15"/>
                <w:szCs w:val="15"/>
                <w:color w:val="auto"/>
              </w:rPr>
            </w:pPr>
          </w:p>
        </w:tc>
        <w:tc>
          <w:tcPr>
            <w:tcW w:w="52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r>
      <w:tr>
        <w:trPr>
          <w:trHeight w:val="383"/>
        </w:trPr>
        <w:tc>
          <w:tcPr>
            <w:tcW w:w="8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8"/>
              </w:rPr>
              <w:t>Certification of the Chief Executive Officer pursuant to 18 U.S.C. § 1350, as adopted pursuant to § 906 of the Sarbanes-Oxley Act of 2002.</w:t>
            </w:r>
          </w:p>
        </w:tc>
      </w:tr>
      <w:tr>
        <w:trPr>
          <w:trHeight w:val="284"/>
        </w:trPr>
        <w:tc>
          <w:tcPr>
            <w:tcW w:w="8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Certification of the Chief Financial Officer pursuant to 18 U.S.C. § 1350, as adopted pursuant to § 906 of the Sarbanes-Oxley Act of 2002.</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Reports on Form 8-K.</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Current Report on Form 8-K was filed on August 2, 2002, under Item 5—Other Events and Regulation FD Disclosure, Item 7—Financial Statements and Exhibits, and Item 8—Change in Fiscal Year. On the Form 8-K, we reported the submission of the Statements under Oath of our principal executive officer and principal financial officer in accordance with the Securities and Exchange Commission’s June 27, 2002 Order requiring the filing of such sworn statements pursuant to Section 21(a)(1) of the Securities and Exchange Act of 1934 and our Board of Directors’ approval to change our fiscal year from our current fiscal year-end date of March 31st to a calendar year-end, effective December 31, 2002.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F</w:t>
      </w:r>
      <w:r>
        <w:rPr>
          <w:rFonts w:ascii="Arial" w:cs="Arial" w:eastAsia="Arial" w:hAnsi="Arial"/>
          <w:sz w:val="14"/>
          <w:szCs w:val="14"/>
          <w:color w:val="auto"/>
        </w:rPr>
        <w:t>UEL</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J. K</w:t>
      </w:r>
      <w:r>
        <w:rPr>
          <w:rFonts w:ascii="Arial" w:cs="Arial" w:eastAsia="Arial" w:hAnsi="Arial"/>
          <w:sz w:val="14"/>
          <w:szCs w:val="14"/>
          <w:color w:val="auto"/>
        </w:rPr>
        <w:t>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Michael J. Kasbar,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Operating Officer</w:t>
      </w:r>
    </w:p>
    <w:p>
      <w:pPr>
        <w:spacing w:after="0" w:line="195"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RANCIS</w:t>
      </w:r>
      <w:r>
        <w:rPr>
          <w:rFonts w:ascii="Arial" w:cs="Arial" w:eastAsia="Arial" w:hAnsi="Arial"/>
          <w:sz w:val="16"/>
          <w:szCs w:val="16"/>
          <w:color w:val="auto"/>
        </w:rPr>
        <w:t xml:space="preserve"> X. S</w:t>
      </w:r>
      <w:r>
        <w:rPr>
          <w:rFonts w:ascii="Arial" w:cs="Arial" w:eastAsia="Arial" w:hAnsi="Arial"/>
          <w:sz w:val="13"/>
          <w:szCs w:val="13"/>
          <w:color w:val="auto"/>
        </w:rPr>
        <w:t>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Francis X. Shea,</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2002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Paul H, Stebbins, certify that:</w:t>
      </w:r>
    </w:p>
    <w:p>
      <w:pPr>
        <w:spacing w:after="0" w:line="158" w:lineRule="exact"/>
        <w:rPr>
          <w:sz w:val="20"/>
          <w:szCs w:val="20"/>
          <w:color w:val="auto"/>
        </w:rPr>
      </w:pPr>
    </w:p>
    <w:p>
      <w:pPr>
        <w:ind w:left="1120" w:hanging="21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the registrant;</w:t>
      </w:r>
    </w:p>
    <w:p>
      <w:pPr>
        <w:spacing w:after="0" w:line="157" w:lineRule="exact"/>
        <w:rPr>
          <w:rFonts w:ascii="Arial" w:cs="Arial" w:eastAsia="Arial" w:hAnsi="Arial"/>
          <w:sz w:val="18"/>
          <w:szCs w:val="18"/>
          <w:color w:val="auto"/>
        </w:rPr>
      </w:pPr>
    </w:p>
    <w:p>
      <w:pPr>
        <w:jc w:val="both"/>
        <w:ind w:left="460" w:firstLine="443"/>
        <w:spacing w:after="0" w:line="259"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60" w:right="160" w:firstLine="443"/>
        <w:spacing w:after="0" w:line="332" w:lineRule="auto"/>
        <w:tabs>
          <w:tab w:leader="none" w:pos="11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60" w:right="120" w:firstLine="443"/>
        <w:spacing w:after="0" w:line="268" w:lineRule="auto"/>
        <w:tabs>
          <w:tab w:leader="none" w:pos="11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left="920" w:right="200" w:firstLine="421"/>
        <w:spacing w:after="0" w:line="370" w:lineRule="auto"/>
        <w:tabs>
          <w:tab w:leader="none" w:pos="1564" w:val="left"/>
        </w:tabs>
        <w:numPr>
          <w:ilvl w:val="1"/>
          <w:numId w:val="1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5"/>
          <w:szCs w:val="15"/>
          <w:color w:val="auto"/>
        </w:rPr>
      </w:pPr>
    </w:p>
    <w:p>
      <w:pPr>
        <w:ind w:left="920" w:right="140" w:firstLine="421"/>
        <w:spacing w:after="0" w:line="268" w:lineRule="auto"/>
        <w:tabs>
          <w:tab w:leader="none" w:pos="15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920" w:right="40" w:firstLine="421"/>
        <w:spacing w:after="0" w:line="268" w:lineRule="auto"/>
        <w:tabs>
          <w:tab w:leader="none" w:pos="15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460" w:firstLine="443"/>
        <w:spacing w:after="0" w:line="268" w:lineRule="auto"/>
        <w:tabs>
          <w:tab w:leader="none" w:pos="11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18" w:lineRule="exact"/>
        <w:rPr>
          <w:rFonts w:ascii="Arial" w:cs="Arial" w:eastAsia="Arial" w:hAnsi="Arial"/>
          <w:sz w:val="18"/>
          <w:szCs w:val="18"/>
          <w:color w:val="auto"/>
        </w:rPr>
      </w:pPr>
    </w:p>
    <w:p>
      <w:pPr>
        <w:ind w:left="920" w:right="360" w:firstLine="421"/>
        <w:spacing w:after="0" w:line="332" w:lineRule="auto"/>
        <w:tabs>
          <w:tab w:leader="none" w:pos="15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20" w:right="260" w:firstLine="421"/>
        <w:spacing w:after="0" w:line="268" w:lineRule="auto"/>
        <w:tabs>
          <w:tab w:leader="none" w:pos="15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460" w:right="220" w:firstLine="443"/>
        <w:spacing w:after="0" w:line="259" w:lineRule="auto"/>
        <w:tabs>
          <w:tab w:leader="none" w:pos="11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AUL</w:t>
      </w:r>
      <w:r>
        <w:rPr>
          <w:rFonts w:ascii="Arial" w:cs="Arial" w:eastAsia="Arial" w:hAnsi="Arial"/>
          <w:sz w:val="16"/>
          <w:szCs w:val="16"/>
          <w:color w:val="auto"/>
        </w:rPr>
        <w:t xml:space="preserve"> H. S</w:t>
      </w:r>
      <w:r>
        <w:rPr>
          <w:rFonts w:ascii="Arial" w:cs="Arial" w:eastAsia="Arial" w:hAnsi="Arial"/>
          <w:sz w:val="13"/>
          <w:szCs w:val="13"/>
          <w:color w:val="auto"/>
        </w:rPr>
        <w:t>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Paul H. Stebbins,</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2002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Francis X. Shea, certify that:</w:t>
      </w:r>
    </w:p>
    <w:p>
      <w:pPr>
        <w:spacing w:after="0" w:line="158" w:lineRule="exact"/>
        <w:rPr>
          <w:sz w:val="20"/>
          <w:szCs w:val="20"/>
          <w:color w:val="auto"/>
        </w:rPr>
      </w:pPr>
    </w:p>
    <w:p>
      <w:pPr>
        <w:ind w:left="1120" w:hanging="21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the registrant;</w:t>
      </w:r>
    </w:p>
    <w:p>
      <w:pPr>
        <w:spacing w:after="0" w:line="157" w:lineRule="exact"/>
        <w:rPr>
          <w:rFonts w:ascii="Arial" w:cs="Arial" w:eastAsia="Arial" w:hAnsi="Arial"/>
          <w:sz w:val="18"/>
          <w:szCs w:val="18"/>
          <w:color w:val="auto"/>
        </w:rPr>
      </w:pPr>
    </w:p>
    <w:p>
      <w:pPr>
        <w:jc w:val="both"/>
        <w:ind w:left="460" w:firstLine="443"/>
        <w:spacing w:after="0" w:line="259"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60" w:right="160" w:firstLine="443"/>
        <w:spacing w:after="0" w:line="332" w:lineRule="auto"/>
        <w:tabs>
          <w:tab w:leader="none" w:pos="111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60" w:right="120" w:firstLine="443"/>
        <w:spacing w:after="0" w:line="268" w:lineRule="auto"/>
        <w:tabs>
          <w:tab w:leader="none" w:pos="11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left="920" w:right="220" w:firstLine="421"/>
        <w:spacing w:after="0" w:line="370" w:lineRule="auto"/>
        <w:tabs>
          <w:tab w:leader="none" w:pos="1549"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5"/>
          <w:szCs w:val="15"/>
          <w:color w:val="auto"/>
        </w:rPr>
      </w:pPr>
    </w:p>
    <w:p>
      <w:pPr>
        <w:ind w:left="920" w:right="160" w:firstLine="421"/>
        <w:spacing w:after="0" w:line="268" w:lineRule="auto"/>
        <w:tabs>
          <w:tab w:leader="none" w:pos="15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460" w:firstLine="443"/>
        <w:spacing w:after="0" w:line="268" w:lineRule="auto"/>
        <w:tabs>
          <w:tab w:leader="none" w:pos="11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18" w:lineRule="exact"/>
        <w:rPr>
          <w:rFonts w:ascii="Arial" w:cs="Arial" w:eastAsia="Arial" w:hAnsi="Arial"/>
          <w:sz w:val="18"/>
          <w:szCs w:val="18"/>
          <w:color w:val="auto"/>
        </w:rPr>
      </w:pPr>
    </w:p>
    <w:p>
      <w:pPr>
        <w:ind w:left="920" w:right="380" w:firstLine="421"/>
        <w:spacing w:after="0" w:line="370" w:lineRule="auto"/>
        <w:tabs>
          <w:tab w:leader="none" w:pos="1549"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48" w:lineRule="exact"/>
        <w:rPr>
          <w:rFonts w:ascii="Arial" w:cs="Arial" w:eastAsia="Arial" w:hAnsi="Arial"/>
          <w:sz w:val="15"/>
          <w:szCs w:val="15"/>
          <w:color w:val="auto"/>
        </w:rPr>
      </w:pPr>
    </w:p>
    <w:p>
      <w:pPr>
        <w:ind w:left="920" w:right="280" w:firstLine="421"/>
        <w:spacing w:after="0" w:line="268" w:lineRule="auto"/>
        <w:tabs>
          <w:tab w:leader="none" w:pos="15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460" w:right="220" w:firstLine="443"/>
        <w:spacing w:after="0" w:line="259" w:lineRule="auto"/>
        <w:tabs>
          <w:tab w:leader="none" w:pos="11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RANCIS</w:t>
      </w:r>
      <w:r>
        <w:rPr>
          <w:rFonts w:ascii="Arial" w:cs="Arial" w:eastAsia="Arial" w:hAnsi="Arial"/>
          <w:sz w:val="16"/>
          <w:szCs w:val="16"/>
          <w:color w:val="auto"/>
        </w:rPr>
        <w:t xml:space="preserve"> X. S</w:t>
      </w:r>
      <w:r>
        <w:rPr>
          <w:rFonts w:ascii="Arial" w:cs="Arial" w:eastAsia="Arial" w:hAnsi="Arial"/>
          <w:sz w:val="13"/>
          <w:szCs w:val="13"/>
          <w:color w:val="auto"/>
        </w:rPr>
        <w:t>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Francis X. Shea,</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2002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Pursuant to 18 U.S.C. § 1350, as adopted pursuant to § 906 of the Sarbanes-Oxley Act of 2002, I, Paul H. Stebbins, Chief Executive Officer of World Fuel Services Corporation (the “Company”), hereby certifies that the Company’s Quarterly Report on Form 10-Q for the quarterly period ended September 30, 2002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15" w:lineRule="exact"/>
        <w:rPr>
          <w:sz w:val="20"/>
          <w:szCs w:val="20"/>
          <w:color w:val="auto"/>
        </w:rPr>
      </w:pPr>
    </w:p>
    <w:p>
      <w:pPr>
        <w:ind w:left="808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AUL</w:t>
      </w:r>
      <w:r>
        <w:rPr>
          <w:rFonts w:ascii="Arial" w:cs="Arial" w:eastAsia="Arial" w:hAnsi="Arial"/>
          <w:sz w:val="16"/>
          <w:szCs w:val="16"/>
          <w:color w:val="auto"/>
        </w:rPr>
        <w:t xml:space="preserve"> H. S</w:t>
      </w:r>
      <w:r>
        <w:rPr>
          <w:rFonts w:ascii="Arial" w:cs="Arial" w:eastAsia="Arial" w:hAnsi="Arial"/>
          <w:sz w:val="13"/>
          <w:szCs w:val="13"/>
          <w:color w:val="auto"/>
        </w:rPr>
        <w:t>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Paul H. Stebbins, Chairman and Chief</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2002</w:t>
      </w:r>
    </w:p>
    <w:p>
      <w:pPr>
        <w:sectPr>
          <w:pgSz w:w="11900" w:h="16838" w:orient="portrait"/>
          <w:cols w:equalWidth="0" w:num="1">
            <w:col w:w="11420"/>
          </w:cols>
          <w:pgMar w:left="240" w:top="422"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1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Pursuant to 18 U.S.C. (§) 1350, as adopted pursuant to § 906 of the Sarbanes-Oxley Act of 2002, I, Francis X. Shea, Chief Financial Officer of World Fuel Services Corporation (the “Company”), hereby certifies that the Company’s Quarterly Report on Form 10-Q for the quarterly period ended September 30, 2002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15"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RANCIS</w:t>
      </w:r>
      <w:r>
        <w:rPr>
          <w:rFonts w:ascii="Arial" w:cs="Arial" w:eastAsia="Arial" w:hAnsi="Arial"/>
          <w:sz w:val="16"/>
          <w:szCs w:val="16"/>
          <w:color w:val="auto"/>
        </w:rPr>
        <w:t xml:space="preserve"> X. S</w:t>
      </w:r>
      <w:r>
        <w:rPr>
          <w:rFonts w:ascii="Arial" w:cs="Arial" w:eastAsia="Arial" w:hAnsi="Arial"/>
          <w:sz w:val="13"/>
          <w:szCs w:val="13"/>
          <w:color w:val="auto"/>
        </w:rPr>
        <w:t>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Francis X. Shea, Executive Vice President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and Chief Financial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2002</w:t>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0"/>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2019-12-12T11:02:20Z</dcterms:created>
  <dcterms:modified xsi:type="dcterms:W3CDTF">2019-12-12T11:02:20Z</dcterms:modified>
</cp:coreProperties>
</file>