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4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9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ind w:left="33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Date of Report (Date of earliest event reported): February 9, 2023</w:t>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WORLD FUEL SERVICES CORPORATION</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097" w:right="339" w:bottom="1440" w:gutter="0" w:footer="0" w:header="0"/>
        </w:sectPr>
      </w:pPr>
    </w:p>
    <w:p>
      <w:pPr>
        <w:spacing w:after="0" w:line="154" w:lineRule="exact"/>
        <w:rPr>
          <w:sz w:val="24"/>
          <w:szCs w:val="24"/>
          <w:color w:val="auto"/>
        </w:rPr>
      </w:pPr>
    </w:p>
    <w:p>
      <w:pPr>
        <w:ind w:left="156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001-09533</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59-2459427</w:t>
      </w:r>
    </w:p>
    <w:p>
      <w:pPr>
        <w:spacing w:after="0" w:line="62" w:lineRule="exact"/>
        <w:rPr>
          <w:sz w:val="24"/>
          <w:szCs w:val="24"/>
          <w:color w:val="auto"/>
        </w:rPr>
      </w:pPr>
    </w:p>
    <w:p>
      <w:pPr>
        <w:sectPr>
          <w:pgSz w:w="11900" w:h="16838" w:orient="portrait"/>
          <w:cols w:equalWidth="0" w:num="3">
            <w:col w:w="4600" w:space="720"/>
            <w:col w:w="2940" w:space="720"/>
            <w:col w:w="2260"/>
          </w:cols>
          <w:pgMar w:left="320" w:top="1097" w:right="339" w:bottom="1440" w:gutter="0" w:footer="0" w:header="0"/>
          <w:type w:val="continuous"/>
        </w:sectPr>
      </w:pPr>
    </w:p>
    <w:p>
      <w:pPr>
        <w:ind w:lef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200" w:lineRule="exact"/>
        <w:rPr>
          <w:sz w:val="24"/>
          <w:szCs w:val="24"/>
          <w:color w:val="auto"/>
        </w:rPr>
      </w:pPr>
    </w:p>
    <w:p>
      <w:pPr>
        <w:sectPr>
          <w:pgSz w:w="11900" w:h="16838" w:orient="portrait"/>
          <w:cols w:equalWidth="0" w:num="3">
            <w:col w:w="4240" w:space="720"/>
            <w:col w:w="2720" w:space="720"/>
            <w:col w:w="2840"/>
          </w:cols>
          <w:pgMar w:left="320" w:top="1097" w:right="339" w:bottom="1440" w:gutter="0" w:footer="0" w:header="0"/>
          <w:type w:val="continuous"/>
        </w:sectPr>
      </w:pPr>
    </w:p>
    <w:p>
      <w:pPr>
        <w:spacing w:after="0" w:line="72" w:lineRule="exact"/>
        <w:rPr>
          <w:sz w:val="24"/>
          <w:szCs w:val="24"/>
          <w:color w:val="auto"/>
        </w:rPr>
      </w:pPr>
    </w:p>
    <w:p>
      <w:pPr>
        <w:ind w:left="300"/>
        <w:spacing w:after="0"/>
        <w:tabs>
          <w:tab w:leader="none" w:pos="2740" w:val="left"/>
          <w:tab w:leader="none" w:pos="3700" w:val="left"/>
        </w:tabs>
        <w:rPr>
          <w:sz w:val="20"/>
          <w:szCs w:val="20"/>
          <w:color w:val="auto"/>
        </w:rPr>
      </w:pPr>
      <w:r>
        <w:rPr>
          <w:rFonts w:ascii="Arial" w:cs="Arial" w:eastAsia="Arial" w:hAnsi="Arial"/>
          <w:sz w:val="22"/>
          <w:szCs w:val="22"/>
          <w:b w:val="1"/>
          <w:bCs w:val="1"/>
          <w:color w:val="auto"/>
        </w:rPr>
        <w:t>9800 N. W. 41st. Street,</w:t>
        <w:tab/>
        <w:t>Miami,</w:t>
      </w:r>
      <w:r>
        <w:rPr>
          <w:sz w:val="20"/>
          <w:szCs w:val="20"/>
          <w:color w:val="auto"/>
        </w:rPr>
        <w:tab/>
      </w: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33178</w:t>
      </w:r>
    </w:p>
    <w:p>
      <w:pPr>
        <w:spacing w:after="0" w:line="61" w:lineRule="exact"/>
        <w:rPr>
          <w:sz w:val="24"/>
          <w:szCs w:val="24"/>
          <w:color w:val="auto"/>
        </w:rPr>
      </w:pPr>
    </w:p>
    <w:p>
      <w:pPr>
        <w:sectPr>
          <w:pgSz w:w="11900" w:h="16838" w:orient="portrait"/>
          <w:cols w:equalWidth="0" w:num="2">
            <w:col w:w="9120" w:space="720"/>
            <w:col w:w="1400"/>
          </w:cols>
          <w:pgMar w:left="320" w:top="1097" w:right="339" w:bottom="1440" w:gutter="0" w:footer="0" w:header="0"/>
          <w:type w:val="continuous"/>
        </w:sectPr>
      </w:pPr>
    </w:p>
    <w:p>
      <w:pPr>
        <w:ind w:left="14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9060" w:space="720"/>
            <w:col w:w="1460"/>
          </w:cols>
          <w:pgMar w:left="320" w:top="1097" w:right="339" w:bottom="1440" w:gutter="0" w:footer="0" w:header="0"/>
          <w:type w:val="continuous"/>
        </w:sectPr>
      </w:pPr>
    </w:p>
    <w:p>
      <w:pPr>
        <w:spacing w:after="0" w:line="135"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240.14-12)</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4"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3040" w:type="dxa"/>
            <w:vAlign w:val="bottom"/>
            <w:gridSpan w:val="2"/>
          </w:tcPr>
          <w:p>
            <w:pPr>
              <w:jc w:val="center"/>
              <w:ind w:right="1760"/>
              <w:spacing w:after="0"/>
              <w:rPr>
                <w:sz w:val="20"/>
                <w:szCs w:val="20"/>
                <w:color w:val="auto"/>
              </w:rPr>
            </w:pPr>
            <w:r>
              <w:rPr>
                <w:rFonts w:ascii="Arial" w:cs="Arial" w:eastAsia="Arial" w:hAnsi="Arial"/>
                <w:sz w:val="18"/>
                <w:szCs w:val="18"/>
                <w:color w:val="auto"/>
                <w:w w:val="88"/>
              </w:rPr>
              <w:t>Title of each class</w:t>
            </w:r>
          </w:p>
        </w:tc>
        <w:tc>
          <w:tcPr>
            <w:tcW w:w="218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399"/>
        </w:trPr>
        <w:tc>
          <w:tcPr>
            <w:tcW w:w="392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Common Stock, par value $0.01 per share</w:t>
            </w:r>
          </w:p>
        </w:tc>
        <w:tc>
          <w:tcPr>
            <w:tcW w:w="2180" w:type="dxa"/>
            <w:vAlign w:val="bottom"/>
            <w:gridSpan w:val="2"/>
          </w:tcPr>
          <w:p>
            <w:pPr>
              <w:jc w:val="center"/>
              <w:ind w:right="800"/>
              <w:spacing w:after="0"/>
              <w:rPr>
                <w:sz w:val="20"/>
                <w:szCs w:val="20"/>
                <w:color w:val="auto"/>
              </w:rPr>
            </w:pPr>
            <w:r>
              <w:rPr>
                <w:rFonts w:ascii="Arial" w:cs="Arial" w:eastAsia="Arial" w:hAnsi="Arial"/>
                <w:sz w:val="18"/>
                <w:szCs w:val="18"/>
                <w:color w:val="auto"/>
              </w:rPr>
              <w:t>INT</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74" w:lineRule="exact"/>
        <w:rPr>
          <w:sz w:val="24"/>
          <w:szCs w:val="24"/>
          <w:color w:val="auto"/>
        </w:rPr>
      </w:pPr>
    </w:p>
    <w:p>
      <w:pPr>
        <w:spacing w:after="0" w:line="25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On February 9, 2023, World Fuel Services Corporation (the “Company”) issued a press release announcing that a conference call has been scheduled on Thursday, February 23, 2023 at 5:00 PM Eastern Time to discuss the Company’s fourth quarter and full year results, as well as certain forward-looking information. The Company plans to release its fourth quarter and full year results after the market closes on the same date. A copy of the press release is attached hereto as Exhibit 99.1.</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(d) Exhibits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1540" w:type="dxa"/>
            <w:vAlign w:val="bottom"/>
            <w:gridSpan w:val="3"/>
          </w:tcPr>
          <w:p>
            <w:pPr>
              <w:spacing w:after="0"/>
              <w:rPr>
                <w:sz w:val="20"/>
                <w:szCs w:val="20"/>
                <w:color w:val="auto"/>
              </w:rPr>
            </w:pPr>
            <w:r>
              <w:rPr>
                <w:rFonts w:ascii="Arial" w:cs="Arial" w:eastAsia="Arial" w:hAnsi="Arial"/>
                <w:sz w:val="20"/>
                <w:szCs w:val="20"/>
                <w:b w:val="1"/>
                <w:bCs w:val="1"/>
                <w:color w:val="auto"/>
              </w:rPr>
              <w:t>Exhibit No.</w:t>
            </w:r>
          </w:p>
        </w:tc>
        <w:tc>
          <w:tcPr>
            <w:tcW w:w="7460" w:type="dxa"/>
            <w:vAlign w:val="bottom"/>
            <w:gridSpan w:val="3"/>
          </w:tcPr>
          <w:p>
            <w:pPr>
              <w:ind w:left="560"/>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2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r>
      <w:tr>
        <w:trPr>
          <w:trHeight w:val="237"/>
        </w:trPr>
        <w:tc>
          <w:tcPr>
            <w:tcW w:w="224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20"/>
                <w:szCs w:val="20"/>
                <w:color w:val="0000FF"/>
              </w:rPr>
              <w:t>99.</w:t>
            </w:r>
            <w:r>
              <w:rPr>
                <w:rFonts w:ascii="Arial" w:cs="Arial" w:eastAsia="Arial" w:hAnsi="Arial"/>
                <w:sz w:val="20"/>
                <w:szCs w:val="20"/>
                <w:u w:val="single" w:color="auto"/>
                <w:color w:val="0000FF"/>
              </w:rPr>
              <w:t>1</w:t>
            </w:r>
          </w:p>
        </w:tc>
        <w:tc>
          <w:tcPr>
            <w:tcW w:w="580" w:type="dxa"/>
            <w:vAlign w:val="bottom"/>
          </w:tcPr>
          <w:p>
            <w:pPr>
              <w:spacing w:after="0"/>
              <w:rPr>
                <w:sz w:val="20"/>
                <w:szCs w:val="20"/>
                <w:color w:val="auto"/>
              </w:rPr>
            </w:pPr>
          </w:p>
        </w:tc>
        <w:tc>
          <w:tcPr>
            <w:tcW w:w="7460" w:type="dxa"/>
            <w:vAlign w:val="bottom"/>
            <w:gridSpan w:val="3"/>
          </w:tcPr>
          <w:p>
            <w:pPr>
              <w:ind w:left="560"/>
              <w:spacing w:after="0"/>
              <w:rPr>
                <w:sz w:val="20"/>
                <w:szCs w:val="20"/>
                <w:color w:val="auto"/>
              </w:rPr>
            </w:pPr>
            <w:r>
              <w:rPr>
                <w:rFonts w:ascii="Arial" w:cs="Arial" w:eastAsia="Arial" w:hAnsi="Arial"/>
                <w:sz w:val="20"/>
                <w:szCs w:val="20"/>
                <w:color w:val="auto"/>
              </w:rPr>
              <w:t>Press Release, dated February 9, 2023</w:t>
            </w:r>
          </w:p>
        </w:tc>
      </w:tr>
      <w:tr>
        <w:trPr>
          <w:trHeight w:val="281"/>
        </w:trPr>
        <w:tc>
          <w:tcPr>
            <w:tcW w:w="2240" w:type="dxa"/>
            <w:vAlign w:val="bottom"/>
          </w:tcPr>
          <w:p>
            <w:pPr>
              <w:spacing w:after="0"/>
              <w:rPr>
                <w:sz w:val="24"/>
                <w:szCs w:val="24"/>
                <w:color w:val="auto"/>
              </w:rPr>
            </w:pPr>
          </w:p>
        </w:tc>
        <w:tc>
          <w:tcPr>
            <w:tcW w:w="340" w:type="dxa"/>
            <w:vAlign w:val="bottom"/>
            <w:tcBorders>
              <w:top w:val="single" w:sz="8" w:color="0000FF"/>
            </w:tcBorders>
          </w:tcPr>
          <w:p>
            <w:pPr>
              <w:spacing w:after="0"/>
              <w:rPr>
                <w:sz w:val="20"/>
                <w:szCs w:val="20"/>
                <w:color w:val="auto"/>
              </w:rPr>
            </w:pPr>
            <w:r>
              <w:rPr>
                <w:rFonts w:ascii="Arial" w:cs="Arial" w:eastAsia="Arial" w:hAnsi="Arial"/>
                <w:sz w:val="20"/>
                <w:szCs w:val="20"/>
                <w:color w:val="auto"/>
                <w:w w:val="95"/>
              </w:rPr>
              <w:t>104</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60" w:type="dxa"/>
            <w:vAlign w:val="bottom"/>
            <w:gridSpan w:val="3"/>
          </w:tcPr>
          <w:p>
            <w:pPr>
              <w:ind w:left="560"/>
              <w:spacing w:after="0"/>
              <w:rPr>
                <w:sz w:val="20"/>
                <w:szCs w:val="20"/>
                <w:color w:val="auto"/>
              </w:rPr>
            </w:pPr>
            <w:r>
              <w:rPr>
                <w:rFonts w:ascii="Arial" w:cs="Arial" w:eastAsia="Arial" w:hAnsi="Arial"/>
                <w:sz w:val="20"/>
                <w:szCs w:val="20"/>
                <w:color w:val="auto"/>
              </w:rPr>
              <w:t>Cover Page Interactive Data File, formatted in inline XBRL.</w:t>
            </w:r>
          </w:p>
        </w:tc>
      </w:tr>
      <w:tr>
        <w:trPr>
          <w:trHeight w:val="1366"/>
        </w:trPr>
        <w:tc>
          <w:tcPr>
            <w:tcW w:w="2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February 9, 2023</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Amy Quintana Avalos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100330</wp:posOffset>
            </wp:positionV>
            <wp:extent cx="3429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16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Amy Quintana Avalos</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Senior Vice President, Chief Corporate Counsel and Corporate Secretary</w:t>
      </w:r>
    </w:p>
    <w:p>
      <w:pPr>
        <w:sectPr>
          <w:pgSz w:w="11900" w:h="16838" w:orient="portrait"/>
          <w:cols w:equalWidth="0" w:num="1">
            <w:col w:w="11240"/>
          </w:cols>
          <w:pgMar w:left="320" w:top="121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QUARTER 2022 EARNINGS CONFERENCE CALL</w:t>
      </w:r>
    </w:p>
    <w:p>
      <w:pPr>
        <w:spacing w:after="0" w:line="200" w:lineRule="exact"/>
        <w:rPr>
          <w:sz w:val="20"/>
          <w:szCs w:val="20"/>
          <w:color w:val="auto"/>
        </w:rPr>
      </w:pPr>
    </w:p>
    <w:p>
      <w:pPr>
        <w:spacing w:after="0" w:line="272" w:lineRule="exact"/>
        <w:rPr>
          <w:sz w:val="20"/>
          <w:szCs w:val="20"/>
          <w:color w:val="auto"/>
        </w:rPr>
      </w:pPr>
    </w:p>
    <w:p>
      <w:pPr>
        <w:jc w:val="both"/>
        <w:spacing w:after="0" w:line="241" w:lineRule="auto"/>
        <w:rPr>
          <w:sz w:val="20"/>
          <w:szCs w:val="20"/>
          <w:color w:val="auto"/>
        </w:rPr>
      </w:pPr>
      <w:r>
        <w:rPr>
          <w:rFonts w:ascii="Arial" w:cs="Arial" w:eastAsia="Arial" w:hAnsi="Arial"/>
          <w:sz w:val="22"/>
          <w:szCs w:val="22"/>
          <w:color w:val="auto"/>
        </w:rPr>
        <w:t>MIAMI--(BUSINESS WIRE) — February 9, 2023 — World Fuel Services Corporation (NYSE:INT) invites you to participate in a conference call with its management team on Thursday, February 23, 2023 at 5:00PM Eastern Time to discuss the Company’s fourth quarter and full year results, as well as certain forward-looking information. The Company plans to release its fourth quarter and full year results after the market closes on the same date.</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To listen to the conference call by phone, participants must pre-register at the Company's website at: </w:t>
      </w:r>
      <w:r>
        <w:rPr>
          <w:rFonts w:ascii="Arial" w:cs="Arial" w:eastAsia="Arial" w:hAnsi="Arial"/>
          <w:sz w:val="22"/>
          <w:szCs w:val="22"/>
          <w:u w:val="single" w:color="auto"/>
          <w:color w:val="0000FF"/>
        </w:rPr>
        <w:t>https://ir.wfscorp.com/events</w:t>
      </w:r>
      <w:r>
        <w:rPr>
          <w:rFonts w:ascii="Arial" w:cs="Arial" w:eastAsia="Arial" w:hAnsi="Arial"/>
          <w:sz w:val="22"/>
          <w:szCs w:val="22"/>
          <w:color w:val="000000"/>
        </w:rPr>
        <w:t>. All registrants will receive dial-in information and a PIN allowing access to the live conference</w:t>
      </w:r>
      <w:r>
        <w:rPr>
          <w:rFonts w:ascii="Arial" w:cs="Arial" w:eastAsia="Arial" w:hAnsi="Arial"/>
          <w:sz w:val="22"/>
          <w:szCs w:val="22"/>
          <w:color w:val="0000FF"/>
        </w:rPr>
        <w:t xml:space="preserve"> </w:t>
      </w:r>
      <w:r>
        <w:rPr>
          <w:rFonts w:ascii="Arial" w:cs="Arial" w:eastAsia="Arial" w:hAnsi="Arial"/>
          <w:sz w:val="22"/>
          <w:szCs w:val="22"/>
          <w:color w:val="000000"/>
        </w:rPr>
        <w:t>call.</w:t>
      </w:r>
    </w:p>
    <w:p>
      <w:pPr>
        <w:spacing w:after="0" w:line="204"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The conference call will also be available via live webcast. The live webcast may be accessed by visiting the Company’s website at </w:t>
      </w:r>
      <w:r>
        <w:rPr>
          <w:rFonts w:ascii="Arial" w:cs="Arial" w:eastAsia="Arial" w:hAnsi="Arial"/>
          <w:sz w:val="22"/>
          <w:szCs w:val="22"/>
          <w:u w:val="single" w:color="auto"/>
          <w:color w:val="0000FF"/>
        </w:rPr>
        <w:t>https://ir.wfscorp.com/events</w:t>
      </w:r>
      <w:r>
        <w:rPr>
          <w:rFonts w:ascii="Arial" w:cs="Arial" w:eastAsia="Arial" w:hAnsi="Arial"/>
          <w:sz w:val="22"/>
          <w:szCs w:val="22"/>
          <w:color w:val="auto"/>
        </w:rPr>
        <w:t>. An archive of the webcast will be available on the Company’s website two hours after the completion of the live call and will remain available until March 9, 2023.</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also offers natural gas and electricity, as well as energy advisory services, including programs for sustainability solutions and renewable energy alternatives. World Fuel Services sells fuel and delivers services to its clients at more than 8,000 locations in more than 200 countries and territories worldwide.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visit </w:t>
      </w:r>
      <w:r>
        <w:rPr>
          <w:rFonts w:ascii="Arial" w:cs="Arial" w:eastAsia="Arial" w:hAnsi="Arial"/>
          <w:sz w:val="22"/>
          <w:szCs w:val="22"/>
          <w:u w:val="single" w:color="auto"/>
          <w:color w:val="0000FF"/>
        </w:rPr>
        <w:t>www.wfscorp.com</w:t>
      </w:r>
      <w:r>
        <w:rPr>
          <w:rFonts w:ascii="Arial" w:cs="Arial" w:eastAsia="Arial" w:hAnsi="Arial"/>
          <w:sz w:val="22"/>
          <w:szCs w:val="22"/>
          <w:color w:val="auto"/>
        </w:rPr>
        <w: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Ira M. Birns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&amp;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Glenn Klevitz, Vice President, Treasurer &amp; Investor Relations</w:t>
      </w:r>
    </w:p>
    <w:p>
      <w:pPr>
        <w:spacing w:after="0" w:line="8" w:lineRule="exact"/>
        <w:rPr>
          <w:sz w:val="20"/>
          <w:szCs w:val="20"/>
          <w:color w:val="auto"/>
        </w:rPr>
      </w:pPr>
    </w:p>
    <w:p>
      <w:pPr>
        <w:ind w:right="9300" w:firstLine="8"/>
        <w:spacing w:after="0" w:line="313" w:lineRule="auto"/>
        <w:tabs>
          <w:tab w:leader="none" w:pos="478" w:val="left"/>
        </w:tabs>
        <w:numPr>
          <w:ilvl w:val="0"/>
          <w:numId w:val="2"/>
        </w:numPr>
        <w:rPr>
          <w:rFonts w:ascii="Arial" w:cs="Arial" w:eastAsia="Arial" w:hAnsi="Arial"/>
          <w:sz w:val="18"/>
          <w:szCs w:val="18"/>
          <w:color w:val="auto"/>
        </w:rPr>
      </w:pPr>
      <w:r>
        <w:rPr>
          <w:rFonts w:ascii="Arial" w:cs="Arial" w:eastAsia="Arial" w:hAnsi="Arial"/>
          <w:sz w:val="18"/>
          <w:szCs w:val="18"/>
          <w:color w:val="auto"/>
        </w:rPr>
        <w:t>428-8000 investors@wfscorp.com</w:t>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2023-02-10T05:21:53Z</dcterms:created>
  <dcterms:modified xsi:type="dcterms:W3CDTF">2023-02-10T05:21:53Z</dcterms:modified>
</cp:coreProperties>
</file>