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9"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162560</wp:posOffset>
            </wp:positionV>
            <wp:extent cx="68961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61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683895</wp:posOffset>
            </wp:positionH>
            <wp:positionV relativeFrom="paragraph">
              <wp:posOffset>106680</wp:posOffset>
            </wp:positionV>
            <wp:extent cx="6522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22085"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CURRENT REPORT</w:t>
      </w:r>
    </w:p>
    <w:p>
      <w:pPr>
        <w:spacing w:after="0" w:line="115" w:lineRule="exact"/>
        <w:rPr>
          <w:sz w:val="24"/>
          <w:szCs w:val="24"/>
          <w:color w:val="auto"/>
        </w:rPr>
      </w:pPr>
    </w:p>
    <w:p>
      <w:pPr>
        <w:ind w:left="3700"/>
        <w:spacing w:after="0"/>
        <w:rPr>
          <w:sz w:val="20"/>
          <w:szCs w:val="20"/>
          <w:color w:val="auto"/>
        </w:rPr>
      </w:pPr>
      <w:r>
        <w:rPr>
          <w:rFonts w:ascii="Arial" w:cs="Arial" w:eastAsia="Arial" w:hAnsi="Arial"/>
          <w:sz w:val="20"/>
          <w:szCs w:val="20"/>
          <w:b w:val="1"/>
          <w:bCs w:val="1"/>
          <w:color w:val="auto"/>
        </w:rPr>
        <w:t>PURSUANT TO SECTION 13 OR 15(d) OF</w:t>
      </w:r>
    </w:p>
    <w:p>
      <w:pPr>
        <w:spacing w:after="0" w:line="115"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THE SECURITIES EXCHANGE ACT OF 1934</w:t>
      </w:r>
    </w:p>
    <w:p>
      <w:pPr>
        <w:spacing w:after="0" w:line="120"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Date of Report (Date of earliest event reported): July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683895</wp:posOffset>
            </wp:positionH>
            <wp:positionV relativeFrom="paragraph">
              <wp:posOffset>108585</wp:posOffset>
            </wp:positionV>
            <wp:extent cx="6522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22085"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WORLD KINECT CORPORATION</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96520</wp:posOffset>
            </wp:positionV>
            <wp:extent cx="6896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6100" cy="825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560"/>
        <w:spacing w:after="0"/>
        <w:rPr>
          <w:sz w:val="20"/>
          <w:szCs w:val="20"/>
          <w:color w:val="auto"/>
        </w:rPr>
      </w:pP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001-09533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59-2459427</w:t>
      </w:r>
    </w:p>
    <w:p>
      <w:pPr>
        <w:spacing w:after="0" w:line="57" w:lineRule="exact"/>
        <w:rPr>
          <w:sz w:val="24"/>
          <w:szCs w:val="24"/>
          <w:color w:val="auto"/>
        </w:rPr>
      </w:pPr>
    </w:p>
    <w:p>
      <w:pPr>
        <w:sectPr>
          <w:pgSz w:w="11900" w:h="16838" w:orient="portrait"/>
          <w:cols w:equalWidth="0" w:num="3">
            <w:col w:w="4460" w:space="720"/>
            <w:col w:w="2960" w:space="720"/>
            <w:col w:w="2380"/>
          </w:cols>
          <w:pgMar w:left="320" w:top="1098" w:right="339" w:bottom="1440" w:gutter="0" w:footer="0" w:header="0"/>
          <w:type w:val="continuous"/>
        </w:sectPr>
      </w:pPr>
    </w:p>
    <w:p>
      <w:pPr>
        <w:ind w:left="6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120" w:space="720"/>
            <w:col w:w="2760" w:space="720"/>
            <w:col w:w="2920"/>
          </w:cols>
          <w:pgMar w:left="320" w:top="1098" w:right="339" w:bottom="1440" w:gutter="0" w:footer="0" w:header="0"/>
          <w:type w:val="continuous"/>
        </w:sectPr>
      </w:pPr>
    </w:p>
    <w:p>
      <w:pPr>
        <w:spacing w:after="0" w:line="63"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9800 N.W. 41st Street,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Miami,</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33178</w:t>
      </w:r>
    </w:p>
    <w:p>
      <w:pPr>
        <w:spacing w:after="0" w:line="113" w:lineRule="exact"/>
        <w:rPr>
          <w:sz w:val="24"/>
          <w:szCs w:val="24"/>
          <w:color w:val="auto"/>
        </w:rPr>
      </w:pPr>
    </w:p>
    <w:p>
      <w:pPr>
        <w:sectPr>
          <w:pgSz w:w="11900" w:h="16838" w:orient="portrait"/>
          <w:cols w:equalWidth="0" w:num="4">
            <w:col w:w="5000" w:space="480"/>
            <w:col w:w="620" w:space="340"/>
            <w:col w:w="640" w:space="640"/>
            <w:col w:w="3520"/>
          </w:cols>
          <w:pgMar w:left="320" w:top="1098" w:right="339" w:bottom="1440" w:gutter="0" w:footer="0" w:header="0"/>
          <w:type w:val="continuous"/>
        </w:sectPr>
      </w:pPr>
    </w:p>
    <w:p>
      <w:pPr>
        <w:spacing w:after="0" w:line="4"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6900" w:space="720"/>
            <w:col w:w="3620"/>
          </w:cols>
          <w:pgMar w:left="320" w:top="1098" w:right="339" w:bottom="1440" w:gutter="0" w:footer="0" w:header="0"/>
          <w:type w:val="continuous"/>
        </w:sectPr>
      </w:pPr>
    </w:p>
    <w:p>
      <w:pPr>
        <w:spacing w:after="0" w:line="6" w:lineRule="exact"/>
        <w:rPr>
          <w:sz w:val="24"/>
          <w:szCs w:val="24"/>
          <w:color w:val="auto"/>
        </w:rPr>
      </w:pPr>
    </w:p>
    <w:p>
      <w:pPr>
        <w:ind w:left="3660"/>
        <w:spacing w:after="0"/>
        <w:rPr>
          <w:sz w:val="20"/>
          <w:szCs w:val="20"/>
          <w:color w:val="auto"/>
        </w:rPr>
      </w:pPr>
      <w:r>
        <w:rPr>
          <w:rFonts w:ascii="Arial" w:cs="Arial" w:eastAsia="Arial" w:hAnsi="Arial"/>
          <w:sz w:val="17"/>
          <w:szCs w:val="17"/>
          <w:b w:val="1"/>
          <w:bCs w:val="1"/>
          <w:color w:val="auto"/>
        </w:rPr>
        <w:t>Registrant’s telephone number, including area code: (305) 428-8000</w:t>
      </w:r>
    </w:p>
    <w:p>
      <w:pPr>
        <w:spacing w:after="0" w:line="116" w:lineRule="exact"/>
        <w:rPr>
          <w:sz w:val="24"/>
          <w:szCs w:val="24"/>
          <w:color w:val="auto"/>
        </w:rPr>
      </w:pPr>
    </w:p>
    <w:p>
      <w:pPr>
        <w:spacing w:after="0" w:line="258"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Written communications pursuant to Rule 425 under the Securities Act (17 CFR 230.425)</w:t>
      </w:r>
    </w:p>
    <w:p>
      <w:pPr>
        <w:spacing w:after="0" w:line="8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Soliciting material pursuant to Rule 14a-12 under the Exchange Act (17 CFR 240.14-12)</w:t>
      </w:r>
    </w:p>
    <w:p>
      <w:pPr>
        <w:spacing w:after="0" w:line="60"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Pre-commencement communications pursuant to Rule 14d-2(b) under the Exchange Act (17 CFR 240.14d-2(b))</w:t>
      </w:r>
    </w:p>
    <w:p>
      <w:pPr>
        <w:spacing w:after="0" w:line="60"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3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2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410"/>
        </w:trPr>
        <w:tc>
          <w:tcPr>
            <w:tcW w:w="16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520" w:type="dxa"/>
            <w:vAlign w:val="bottom"/>
          </w:tcPr>
          <w:p>
            <w:pPr>
              <w:spacing w:after="0"/>
              <w:rPr>
                <w:sz w:val="24"/>
                <w:szCs w:val="24"/>
                <w:color w:val="auto"/>
              </w:rPr>
            </w:pPr>
          </w:p>
        </w:tc>
        <w:tc>
          <w:tcPr>
            <w:tcW w:w="1880" w:type="dxa"/>
            <w:vAlign w:val="bottom"/>
            <w:gridSpan w:val="2"/>
          </w:tcPr>
          <w:p>
            <w:pPr>
              <w:jc w:val="center"/>
              <w:ind w:left="435"/>
              <w:spacing w:after="0"/>
              <w:rPr>
                <w:sz w:val="20"/>
                <w:szCs w:val="20"/>
                <w:color w:val="auto"/>
              </w:rPr>
            </w:pPr>
            <w:r>
              <w:rPr>
                <w:rFonts w:ascii="Arial" w:cs="Arial" w:eastAsia="Arial" w:hAnsi="Arial"/>
                <w:sz w:val="17"/>
                <w:szCs w:val="17"/>
                <w:b w:val="1"/>
                <w:bCs w:val="1"/>
                <w:color w:val="auto"/>
                <w:w w:val="91"/>
              </w:rPr>
              <w:t>Trading Symbol(s)</w:t>
            </w:r>
          </w:p>
        </w:tc>
        <w:tc>
          <w:tcPr>
            <w:tcW w:w="10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24"/>
        </w:trPr>
        <w:tc>
          <w:tcPr>
            <w:tcW w:w="4420" w:type="dxa"/>
            <w:vAlign w:val="bottom"/>
            <w:gridSpan w:val="3"/>
          </w:tcPr>
          <w:p>
            <w:pPr>
              <w:jc w:val="center"/>
              <w:ind w:left="15"/>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5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WKC</w:t>
            </w:r>
          </w:p>
        </w:tc>
        <w:tc>
          <w:tcPr>
            <w:tcW w:w="10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89"/>
              </w:rPr>
              <w:t>New York Stock Exchange</w:t>
            </w:r>
          </w:p>
        </w:tc>
      </w:tr>
    </w:tbl>
    <w:p>
      <w:pPr>
        <w:spacing w:after="0" w:line="181" w:lineRule="exact"/>
        <w:rPr>
          <w:sz w:val="24"/>
          <w:szCs w:val="24"/>
          <w:color w:val="auto"/>
        </w:rPr>
      </w:pPr>
    </w:p>
    <w:p>
      <w:pPr>
        <w:spacing w:after="0" w:line="27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4" w:lineRule="exact"/>
        <w:rPr>
          <w:sz w:val="24"/>
          <w:szCs w:val="24"/>
          <w:color w:val="auto"/>
        </w:rPr>
      </w:pPr>
    </w:p>
    <w:p>
      <w:pPr>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636905</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information is provided pursuant to Item 7.01 of Form 8-K, "Regulation FD Disclosure" and Item 2.02 of Form 8-K, "Results of Operations and Financial Condition."</w:t>
      </w:r>
    </w:p>
    <w:p>
      <w:pPr>
        <w:spacing w:after="0" w:line="62" w:lineRule="exact"/>
        <w:rPr>
          <w:sz w:val="20"/>
          <w:szCs w:val="20"/>
          <w:color w:val="auto"/>
        </w:rPr>
      </w:pPr>
    </w:p>
    <w:p>
      <w:pPr>
        <w:ind w:firstLine="58"/>
        <w:spacing w:after="0" w:line="276" w:lineRule="auto"/>
        <w:rPr>
          <w:sz w:val="20"/>
          <w:szCs w:val="20"/>
          <w:color w:val="auto"/>
        </w:rPr>
      </w:pPr>
      <w:r>
        <w:rPr>
          <w:rFonts w:ascii="Arial" w:cs="Arial" w:eastAsia="Arial" w:hAnsi="Arial"/>
          <w:sz w:val="17"/>
          <w:szCs w:val="17"/>
          <w:color w:val="auto"/>
        </w:rPr>
        <w:t>On July 27, 2023, World Kinect Corporation issued a press release reporting its financial results for the second quarter of 2023. A copy of the press release is attached hereto as Exhibit 99.1.</w:t>
      </w:r>
    </w:p>
    <w:p>
      <w:pPr>
        <w:spacing w:after="0" w:line="62" w:lineRule="exact"/>
        <w:rPr>
          <w:sz w:val="20"/>
          <w:szCs w:val="20"/>
          <w:color w:val="auto"/>
        </w:rPr>
      </w:pPr>
    </w:p>
    <w:p>
      <w:pPr>
        <w:ind w:firstLine="51"/>
        <w:spacing w:after="0" w:line="311" w:lineRule="auto"/>
        <w:rPr>
          <w:sz w:val="20"/>
          <w:szCs w:val="20"/>
          <w:color w:val="auto"/>
        </w:rPr>
      </w:pPr>
      <w:r>
        <w:rPr>
          <w:rFonts w:ascii="Arial" w:cs="Arial" w:eastAsia="Arial" w:hAnsi="Arial"/>
          <w:sz w:val="15"/>
          <w:szCs w:val="15"/>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expressly set forth by specific reference in any such filing.</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gridSpan w:val="3"/>
          </w:tcPr>
          <w:p>
            <w:pPr>
              <w:spacing w:after="0"/>
              <w:rPr>
                <w:sz w:val="20"/>
                <w:szCs w:val="20"/>
                <w:color w:val="auto"/>
              </w:rPr>
            </w:pPr>
            <w:r>
              <w:rPr>
                <w:rFonts w:ascii="Arial" w:cs="Arial" w:eastAsia="Arial" w:hAnsi="Arial"/>
                <w:sz w:val="17"/>
                <w:szCs w:val="17"/>
                <w:color w:val="auto"/>
                <w:w w:val="98"/>
              </w:rPr>
              <w:t>(d) Exhibits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r>
      <w:tr>
        <w:trPr>
          <w:trHeight w:val="308"/>
        </w:trPr>
        <w:tc>
          <w:tcPr>
            <w:tcW w:w="2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2"/>
              </w:rPr>
              <w:t>Exhibit No.</w:t>
            </w:r>
          </w:p>
        </w:tc>
        <w:tc>
          <w:tcPr>
            <w:tcW w:w="8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7"/>
              </w:rPr>
              <w:t>Description</w:t>
            </w:r>
          </w:p>
        </w:tc>
        <w:tc>
          <w:tcPr>
            <w:tcW w:w="8720" w:type="dxa"/>
            <w:vAlign w:val="bottom"/>
          </w:tcPr>
          <w:p>
            <w:pPr>
              <w:spacing w:after="0"/>
              <w:rPr>
                <w:sz w:val="24"/>
                <w:szCs w:val="24"/>
                <w:color w:val="auto"/>
              </w:rPr>
            </w:pPr>
          </w:p>
        </w:tc>
      </w:tr>
      <w:tr>
        <w:trPr>
          <w:trHeight w:val="197"/>
        </w:trPr>
        <w:tc>
          <w:tcPr>
            <w:tcW w:w="320" w:type="dxa"/>
            <w:vAlign w:val="bottom"/>
            <w:gridSpan w:val="2"/>
          </w:tcPr>
          <w:p>
            <w:pPr>
              <w:ind w:left="20"/>
              <w:spacing w:after="0"/>
              <w:rPr>
                <w:sz w:val="20"/>
                <w:szCs w:val="20"/>
                <w:color w:val="auto"/>
              </w:rPr>
            </w:pPr>
            <w:r>
              <w:rPr>
                <w:rFonts w:ascii="Arial" w:cs="Arial" w:eastAsia="Arial" w:hAnsi="Arial"/>
                <w:sz w:val="17"/>
                <w:szCs w:val="17"/>
                <w:color w:val="0000FF"/>
                <w:w w:val="84"/>
              </w:rPr>
              <w:t>99.</w:t>
            </w:r>
            <w:r>
              <w:rPr>
                <w:rFonts w:ascii="Arial" w:cs="Arial" w:eastAsia="Arial" w:hAnsi="Arial"/>
                <w:sz w:val="17"/>
                <w:szCs w:val="17"/>
                <w:u w:val="single" w:color="auto"/>
                <w:color w:val="0000FF"/>
                <w:w w:val="84"/>
              </w:rPr>
              <w:t>1</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60" w:type="dxa"/>
            <w:vAlign w:val="bottom"/>
            <w:gridSpan w:val="2"/>
          </w:tcPr>
          <w:p>
            <w:pPr>
              <w:spacing w:after="0"/>
              <w:rPr>
                <w:sz w:val="20"/>
                <w:szCs w:val="20"/>
                <w:color w:val="auto"/>
              </w:rPr>
            </w:pPr>
            <w:r>
              <w:rPr>
                <w:rFonts w:ascii="Arial" w:cs="Arial" w:eastAsia="Arial" w:hAnsi="Arial"/>
                <w:sz w:val="17"/>
                <w:szCs w:val="17"/>
                <w:color w:val="auto"/>
              </w:rPr>
              <w:t>Press Release, dated July 27, 2023</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560" w:type="dxa"/>
            <w:vAlign w:val="bottom"/>
            <w:gridSpan w:val="2"/>
          </w:tcPr>
          <w:p>
            <w:pPr>
              <w:spacing w:after="0" w:line="20" w:lineRule="exact"/>
              <w:rPr>
                <w:sz w:val="1"/>
                <w:szCs w:val="1"/>
                <w:color w:val="auto"/>
              </w:rPr>
            </w:pPr>
          </w:p>
        </w:tc>
      </w:tr>
      <w:tr>
        <w:trPr>
          <w:trHeight w:val="235"/>
        </w:trPr>
        <w:tc>
          <w:tcPr>
            <w:tcW w:w="320" w:type="dxa"/>
            <w:vAlign w:val="bottom"/>
            <w:gridSpan w:val="2"/>
          </w:tcPr>
          <w:p>
            <w:pPr>
              <w:ind w:left="20"/>
              <w:spacing w:after="0"/>
              <w:rPr>
                <w:sz w:val="20"/>
                <w:szCs w:val="20"/>
                <w:color w:val="auto"/>
              </w:rPr>
            </w:pPr>
            <w:r>
              <w:rPr>
                <w:rFonts w:ascii="Arial" w:cs="Arial" w:eastAsia="Arial" w:hAnsi="Arial"/>
                <w:sz w:val="17"/>
                <w:szCs w:val="17"/>
                <w:color w:val="auto"/>
                <w:w w:val="98"/>
              </w:rPr>
              <w:t>104</w:t>
            </w: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Arial" w:cs="Arial" w:eastAsia="Arial" w:hAnsi="Arial"/>
                <w:sz w:val="17"/>
                <w:szCs w:val="17"/>
                <w:color w:val="auto"/>
              </w:rPr>
              <w:t>Cover Page Interactive Data File, formatted in inline XBRL</w:t>
            </w:r>
          </w:p>
        </w:tc>
      </w:tr>
      <w:tr>
        <w:trPr>
          <w:trHeight w:val="1363"/>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52" w:lineRule="exact"/>
        <w:rPr>
          <w:sz w:val="20"/>
          <w:szCs w:val="20"/>
          <w:color w:val="auto"/>
        </w:rPr>
      </w:pPr>
    </w:p>
    <w:p>
      <w:pPr>
        <w:ind w:left="20"/>
        <w:spacing w:after="0"/>
        <w:tabs>
          <w:tab w:leader="none" w:pos="4400" w:val="left"/>
        </w:tabs>
        <w:rPr>
          <w:sz w:val="20"/>
          <w:szCs w:val="20"/>
          <w:color w:val="auto"/>
        </w:rPr>
      </w:pPr>
      <w:r>
        <w:rPr>
          <w:rFonts w:ascii="Arial" w:cs="Arial" w:eastAsia="Arial" w:hAnsi="Arial"/>
          <w:sz w:val="17"/>
          <w:szCs w:val="17"/>
          <w:color w:val="auto"/>
        </w:rPr>
        <w:t>Date: July 27, 2023</w:t>
      </w:r>
      <w:r>
        <w:rPr>
          <w:sz w:val="20"/>
          <w:szCs w:val="20"/>
          <w:color w:val="auto"/>
        </w:rPr>
        <w:tab/>
      </w:r>
      <w:r>
        <w:rPr>
          <w:rFonts w:ascii="Arial" w:cs="Arial" w:eastAsia="Arial" w:hAnsi="Arial"/>
          <w:sz w:val="15"/>
          <w:szCs w:val="15"/>
          <w:b w:val="1"/>
          <w:bCs w:val="1"/>
          <w:color w:val="auto"/>
        </w:rPr>
        <w:t>World Kinect Corporation</w:t>
      </w:r>
    </w:p>
    <w:p>
      <w:pPr>
        <w:spacing w:after="0" w:line="25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2795270</wp:posOffset>
            </wp:positionH>
            <wp:positionV relativeFrom="paragraph">
              <wp:posOffset>13970</wp:posOffset>
            </wp:positionV>
            <wp:extent cx="3468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Ira M. Birns</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240"/>
          </w:cols>
          <w:pgMar w:left="320" w:top="958" w:right="339" w:bottom="1440" w:gutter="0" w:footer="0" w:header="0"/>
        </w:sectPr>
      </w:pPr>
    </w:p>
    <w:bookmarkStart w:id="3" w:name="page4"/>
    <w:bookmarkEnd w:id="3"/>
    <w:p>
      <w:pPr>
        <w:ind w:left="1018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486410</wp:posOffset>
            </wp:positionV>
            <wp:extent cx="1218565" cy="657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8565" cy="65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World Kinect Corporation Reports Second Quarter 2023 Results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Second Quarter 2023 Highlights</w:t>
      </w:r>
    </w:p>
    <w:p>
      <w:pPr>
        <w:spacing w:after="0" w:line="220" w:lineRule="exact"/>
        <w:rPr>
          <w:sz w:val="20"/>
          <w:szCs w:val="20"/>
          <w:color w:val="auto"/>
        </w:rPr>
      </w:pPr>
    </w:p>
    <w:p>
      <w:pPr>
        <w:ind w:left="620" w:hanging="311"/>
        <w:spacing w:after="0"/>
        <w:tabs>
          <w:tab w:leader="none" w:pos="620" w:val="left"/>
        </w:tabs>
        <w:numPr>
          <w:ilvl w:val="0"/>
          <w:numId w:val="1"/>
        </w:numPr>
        <w:rPr>
          <w:rFonts w:ascii="Arial" w:cs="Arial" w:eastAsia="Arial" w:hAnsi="Arial"/>
          <w:sz w:val="19"/>
          <w:szCs w:val="19"/>
          <w:color w:val="auto"/>
        </w:rPr>
      </w:pPr>
      <w:r>
        <w:rPr>
          <w:rFonts w:ascii="Arial" w:cs="Arial" w:eastAsia="Arial" w:hAnsi="Arial"/>
          <w:sz w:val="19"/>
          <w:szCs w:val="19"/>
          <w:color w:val="auto"/>
        </w:rPr>
        <w:t>Gross profit increased 11% to $282 million</w:t>
      </w:r>
    </w:p>
    <w:p>
      <w:pPr>
        <w:spacing w:after="0" w:line="20" w:lineRule="exact"/>
        <w:rPr>
          <w:rFonts w:ascii="Arial" w:cs="Arial" w:eastAsia="Arial" w:hAnsi="Arial"/>
          <w:sz w:val="19"/>
          <w:szCs w:val="19"/>
          <w:color w:val="auto"/>
        </w:rPr>
      </w:pPr>
    </w:p>
    <w:p>
      <w:pPr>
        <w:ind w:left="620" w:hanging="311"/>
        <w:spacing w:after="0"/>
        <w:tabs>
          <w:tab w:leader="none" w:pos="620" w:val="left"/>
        </w:tabs>
        <w:numPr>
          <w:ilvl w:val="0"/>
          <w:numId w:val="1"/>
        </w:numPr>
        <w:rPr>
          <w:rFonts w:ascii="Arial" w:cs="Arial" w:eastAsia="Arial" w:hAnsi="Arial"/>
          <w:sz w:val="19"/>
          <w:szCs w:val="19"/>
          <w:color w:val="auto"/>
        </w:rPr>
      </w:pPr>
      <w:r>
        <w:rPr>
          <w:rFonts w:ascii="Arial" w:cs="Arial" w:eastAsia="Arial" w:hAnsi="Arial"/>
          <w:sz w:val="19"/>
          <w:szCs w:val="19"/>
          <w:color w:val="auto"/>
        </w:rPr>
        <w:t>Net income increased 23% to $30 million</w:t>
      </w:r>
    </w:p>
    <w:p>
      <w:pPr>
        <w:spacing w:after="0" w:line="6" w:lineRule="exact"/>
        <w:rPr>
          <w:rFonts w:ascii="Arial" w:cs="Arial" w:eastAsia="Arial" w:hAnsi="Arial"/>
          <w:sz w:val="19"/>
          <w:szCs w:val="19"/>
          <w:color w:val="auto"/>
        </w:rPr>
      </w:pPr>
    </w:p>
    <w:p>
      <w:pPr>
        <w:ind w:left="620" w:hanging="311"/>
        <w:spacing w:after="0"/>
        <w:tabs>
          <w:tab w:leader="none" w:pos="620" w:val="left"/>
        </w:tabs>
        <w:numPr>
          <w:ilvl w:val="0"/>
          <w:numId w:val="1"/>
        </w:numPr>
        <w:rPr>
          <w:rFonts w:ascii="Arial" w:cs="Arial" w:eastAsia="Arial" w:hAnsi="Arial"/>
          <w:sz w:val="19"/>
          <w:szCs w:val="19"/>
          <w:color w:val="auto"/>
        </w:rPr>
      </w:pPr>
      <w:r>
        <w:rPr>
          <w:rFonts w:ascii="Arial" w:cs="Arial" w:eastAsia="Arial" w:hAnsi="Arial"/>
          <w:sz w:val="19"/>
          <w:szCs w:val="19"/>
          <w:color w:val="auto"/>
        </w:rPr>
        <w:t>GAAP diluted earnings and adjusted diluted earnings per share of $0.48</w:t>
      </w:r>
    </w:p>
    <w:p>
      <w:pPr>
        <w:spacing w:after="0" w:line="4" w:lineRule="exact"/>
        <w:rPr>
          <w:rFonts w:ascii="Arial" w:cs="Arial" w:eastAsia="Arial" w:hAnsi="Arial"/>
          <w:sz w:val="19"/>
          <w:szCs w:val="19"/>
          <w:color w:val="auto"/>
        </w:rPr>
      </w:pPr>
    </w:p>
    <w:p>
      <w:pPr>
        <w:ind w:left="620" w:hanging="311"/>
        <w:spacing w:after="0"/>
        <w:tabs>
          <w:tab w:leader="none" w:pos="620" w:val="left"/>
        </w:tabs>
        <w:numPr>
          <w:ilvl w:val="0"/>
          <w:numId w:val="1"/>
        </w:numPr>
        <w:rPr>
          <w:rFonts w:ascii="Arial" w:cs="Arial" w:eastAsia="Arial" w:hAnsi="Arial"/>
          <w:sz w:val="19"/>
          <w:szCs w:val="19"/>
          <w:color w:val="auto"/>
        </w:rPr>
      </w:pPr>
      <w:r>
        <w:rPr>
          <w:rFonts w:ascii="Arial" w:cs="Arial" w:eastAsia="Arial" w:hAnsi="Arial"/>
          <w:sz w:val="19"/>
          <w:szCs w:val="19"/>
          <w:color w:val="auto"/>
        </w:rPr>
        <w:t>Adjusted EBITDA increased 29% to $99 million</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MIAMI—July 27, 2023—World Kinect Corporation (NYSE: WKC) today reported financial results for the second quarter of 2023.</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Results compared to the same period last year are as follows (unaudited - in millions, except percentages and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6"/>
          </w:tcPr>
          <w:p>
            <w:pPr>
              <w:jc w:val="right"/>
              <w:ind w:right="735"/>
              <w:spacing w:after="0"/>
              <w:rPr>
                <w:sz w:val="20"/>
                <w:szCs w:val="20"/>
                <w:color w:val="auto"/>
              </w:rPr>
            </w:pPr>
            <w:r>
              <w:rPr>
                <w:rFonts w:ascii="Arial" w:cs="Arial" w:eastAsia="Arial" w:hAnsi="Arial"/>
                <w:sz w:val="17"/>
                <w:szCs w:val="17"/>
                <w:b w:val="1"/>
                <w:bCs w:val="1"/>
                <w:color w:val="auto"/>
              </w:rPr>
              <w:t>Three Months Ended June 30,</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ind w:left="660"/>
              <w:spacing w:after="0"/>
              <w:rPr>
                <w:sz w:val="20"/>
                <w:szCs w:val="20"/>
                <w:color w:val="auto"/>
              </w:rPr>
            </w:pPr>
            <w:r>
              <w:rPr>
                <w:rFonts w:ascii="Arial" w:cs="Arial" w:eastAsia="Arial" w:hAnsi="Arial"/>
                <w:sz w:val="17"/>
                <w:szCs w:val="17"/>
                <w:b w:val="1"/>
                <w:bCs w:val="1"/>
                <w:color w:val="auto"/>
                <w:w w:val="90"/>
              </w:rPr>
              <w:t>Six Months Ended June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Change</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89"/>
              </w:rPr>
              <w:t>Change</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Volume </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4,465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4,651</w:t>
            </w:r>
          </w:p>
        </w:tc>
        <w:tc>
          <w:tcPr>
            <w:tcW w:w="13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8,937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9,127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7"/>
        </w:trPr>
        <w:tc>
          <w:tcPr>
            <w:tcW w:w="3400" w:type="dxa"/>
            <w:vAlign w:val="bottom"/>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10,981</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17,122</w:t>
            </w:r>
          </w:p>
        </w:tc>
        <w:tc>
          <w:tcPr>
            <w:tcW w:w="1320" w:type="dxa"/>
            <w:vAlign w:val="bottom"/>
            <w:gridSpan w:val="2"/>
          </w:tcPr>
          <w:p>
            <w:pPr>
              <w:jc w:val="right"/>
              <w:ind w:right="35"/>
              <w:spacing w:after="0"/>
              <w:rPr>
                <w:sz w:val="20"/>
                <w:szCs w:val="20"/>
                <w:color w:val="auto"/>
              </w:rPr>
            </w:pPr>
            <w:r>
              <w:rPr>
                <w:rFonts w:ascii="Arial" w:cs="Arial" w:eastAsia="Arial" w:hAnsi="Arial"/>
                <w:sz w:val="17"/>
                <w:szCs w:val="17"/>
                <w:color w:val="auto"/>
              </w:rPr>
              <w:t>(36)%</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23,462</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29,504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253</w:t>
            </w:r>
          </w:p>
        </w:tc>
        <w:tc>
          <w:tcPr>
            <w:tcW w:w="13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544</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484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76</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53</w:t>
            </w:r>
          </w:p>
        </w:tc>
        <w:tc>
          <w:tcPr>
            <w:tcW w:w="1320" w:type="dxa"/>
            <w:vAlign w:val="bottom"/>
            <w:gridSpan w:val="2"/>
          </w:tcPr>
          <w:p>
            <w:pPr>
              <w:jc w:val="right"/>
              <w:ind w:right="35"/>
              <w:spacing w:after="0"/>
              <w:rPr>
                <w:sz w:val="20"/>
                <w:szCs w:val="20"/>
                <w:color w:val="auto"/>
              </w:rPr>
            </w:pPr>
            <w:r>
              <w:rPr>
                <w:rFonts w:ascii="Arial" w:cs="Arial" w:eastAsia="Arial" w:hAnsi="Arial"/>
                <w:sz w:val="17"/>
                <w:szCs w:val="17"/>
                <w:color w:val="auto"/>
              </w:rPr>
              <w:t>43%</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140</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94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74"/>
        </w:trPr>
        <w:tc>
          <w:tcPr>
            <w:tcW w:w="340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color w:val="auto"/>
              </w:rPr>
              <w:t>Income from operations as a percentage of</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0" w:type="dxa"/>
            <w:vAlign w:val="bottom"/>
          </w:tcPr>
          <w:p>
            <w:pPr>
              <w:ind w:left="20"/>
              <w:spacing w:after="0"/>
              <w:rPr>
                <w:sz w:val="20"/>
                <w:szCs w:val="20"/>
                <w:color w:val="auto"/>
              </w:rPr>
            </w:pPr>
            <w:r>
              <w:rPr>
                <w:rFonts w:ascii="Arial" w:cs="Arial" w:eastAsia="Arial" w:hAnsi="Arial"/>
                <w:sz w:val="17"/>
                <w:szCs w:val="17"/>
                <w:color w:val="auto"/>
              </w:rPr>
              <w:t>Adjusted income from operations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76</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54</w:t>
            </w:r>
          </w:p>
        </w:tc>
        <w:tc>
          <w:tcPr>
            <w:tcW w:w="1320" w:type="dxa"/>
            <w:vAlign w:val="bottom"/>
            <w:gridSpan w:val="2"/>
          </w:tcPr>
          <w:p>
            <w:pPr>
              <w:jc w:val="right"/>
              <w:ind w:right="35"/>
              <w:spacing w:after="0"/>
              <w:rPr>
                <w:sz w:val="20"/>
                <w:szCs w:val="20"/>
                <w:color w:val="auto"/>
              </w:rPr>
            </w:pPr>
            <w:r>
              <w:rPr>
                <w:rFonts w:ascii="Arial" w:cs="Arial" w:eastAsia="Arial" w:hAnsi="Arial"/>
                <w:sz w:val="17"/>
                <w:szCs w:val="17"/>
                <w:color w:val="auto"/>
              </w:rPr>
              <w:t>41%</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141</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96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Adjusted income from operations as a</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percentage of gross profit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0" w:type="dxa"/>
            <w:vAlign w:val="bottom"/>
          </w:tcPr>
          <w:p>
            <w:pPr>
              <w:ind w:left="20"/>
              <w:spacing w:after="0"/>
              <w:rPr>
                <w:sz w:val="20"/>
                <w:szCs w:val="20"/>
                <w:color w:val="auto"/>
              </w:rPr>
            </w:pPr>
            <w:r>
              <w:rPr>
                <w:rFonts w:ascii="Arial" w:cs="Arial" w:eastAsia="Arial" w:hAnsi="Arial"/>
                <w:sz w:val="17"/>
                <w:szCs w:val="17"/>
                <w:color w:val="auto"/>
              </w:rPr>
              <w:t>Diluted earnings (loss) per common share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0.48</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0.39</w:t>
            </w:r>
          </w:p>
        </w:tc>
        <w:tc>
          <w:tcPr>
            <w:tcW w:w="1320" w:type="dxa"/>
            <w:vAlign w:val="bottom"/>
            <w:gridSpan w:val="2"/>
          </w:tcPr>
          <w:p>
            <w:pPr>
              <w:jc w:val="right"/>
              <w:ind w:right="35"/>
              <w:spacing w:after="0"/>
              <w:rPr>
                <w:sz w:val="20"/>
                <w:szCs w:val="20"/>
                <w:color w:val="auto"/>
              </w:rPr>
            </w:pPr>
            <w:r>
              <w:rPr>
                <w:rFonts w:ascii="Arial" w:cs="Arial" w:eastAsia="Arial" w:hAnsi="Arial"/>
                <w:sz w:val="17"/>
                <w:szCs w:val="17"/>
                <w:color w:val="auto"/>
              </w:rPr>
              <w:t>23%</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0.84</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0.80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w w:val="99"/>
              </w:rPr>
              <w:t>Adjusted diluted earnings (loss) per common</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0.48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0.41</w:t>
            </w:r>
          </w:p>
        </w:tc>
        <w:tc>
          <w:tcPr>
            <w:tcW w:w="13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17%</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0.84</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0.83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00" w:hanging="298"/>
        <w:spacing w:after="0"/>
        <w:tabs>
          <w:tab w:leader="none" w:pos="300" w:val="left"/>
        </w:tabs>
        <w:numPr>
          <w:ilvl w:val="0"/>
          <w:numId w:val="2"/>
        </w:numPr>
        <w:rPr>
          <w:rFonts w:ascii="Arial" w:cs="Arial" w:eastAsia="Arial" w:hAnsi="Arial"/>
          <w:sz w:val="22"/>
          <w:szCs w:val="22"/>
          <w:color w:val="auto"/>
          <w:vertAlign w:val="superscript"/>
        </w:rPr>
      </w:pPr>
      <w:r>
        <w:rPr>
          <w:rFonts w:ascii="Arial" w:cs="Arial" w:eastAsia="Arial" w:hAnsi="Arial"/>
          <w:sz w:val="17"/>
          <w:szCs w:val="17"/>
          <w:color w:val="auto"/>
        </w:rPr>
        <w:t>Includes gallons and gallon equivalents converted as described in the table below.</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"It has been an exciting quarter for World Kinect, and I am proud of our team's effort toward meeting our customers' complex energy needs in the most efficient manner possible," stated Michael J. Kasbar, chairman and chief executive officer. "Changing our corporate name as part of our recent annual shareholder meeting is just one example of our ongoing commitment to that mission, and our second quarter results continue to demonstrate our focus on maximizing returns while also investing in our future by expanding our suite of sustainability-related products and services and broader technology-enabled solutions."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 am very pleased with our accomplishments this quarter, delivering solid operating cash flow while also diversifying our capital structure by successfully completing our first ever bond offering, and repurchasing $50 million of shares," said Ira M. Birns, executive vice president and chief financial officer. "We are now focused on delivering solid results in our seasonally strongest third quarter and we remain optimistic about our performance outlook for the balance of the year and into 2024."</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332" w:right="339" w:bottom="1440" w:gutter="0" w:footer="0" w:header="0"/>
        </w:sectPr>
      </w:pPr>
    </w:p>
    <w:bookmarkStart w:id="4" w:name="page5"/>
    <w:bookmarkEnd w:id="4"/>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Corporate Updates</w:t>
      </w:r>
    </w:p>
    <w:p>
      <w:pPr>
        <w:spacing w:after="0" w:line="216" w:lineRule="exact"/>
        <w:rPr>
          <w:sz w:val="20"/>
          <w:szCs w:val="20"/>
          <w:color w:val="auto"/>
        </w:rPr>
      </w:pPr>
    </w:p>
    <w:p>
      <w:pPr>
        <w:ind w:left="620" w:hanging="311"/>
        <w:spacing w:after="0"/>
        <w:tabs>
          <w:tab w:leader="none" w:pos="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changed its corporate name from World Fuel Services to World Kinect</w:t>
      </w:r>
    </w:p>
    <w:p>
      <w:pPr>
        <w:spacing w:after="0" w:line="18" w:lineRule="exact"/>
        <w:rPr>
          <w:rFonts w:ascii="Arial" w:cs="Arial" w:eastAsia="Arial" w:hAnsi="Arial"/>
          <w:sz w:val="19"/>
          <w:szCs w:val="19"/>
          <w:b w:val="1"/>
          <w:bCs w:val="1"/>
          <w:color w:val="auto"/>
        </w:rPr>
      </w:pPr>
    </w:p>
    <w:p>
      <w:pPr>
        <w:ind w:left="1240" w:hanging="317"/>
        <w:spacing w:after="0" w:line="274" w:lineRule="auto"/>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Company's shareholders approved a proposal to change its corporate name at the 2023 Annual Meeting, and the Company began trading under its new name and changed its ticker symbol on the NYSE from INT to WKC effective June 16, 2023.</w:t>
      </w:r>
    </w:p>
    <w:p>
      <w:pPr>
        <w:spacing w:after="0" w:line="1" w:lineRule="exact"/>
        <w:rPr>
          <w:rFonts w:ascii="Arial" w:cs="Arial" w:eastAsia="Arial" w:hAnsi="Arial"/>
          <w:sz w:val="17"/>
          <w:szCs w:val="17"/>
          <w:color w:val="auto"/>
        </w:rPr>
      </w:pPr>
    </w:p>
    <w:p>
      <w:pPr>
        <w:ind w:left="1240" w:hanging="317"/>
        <w:spacing w:after="0" w:line="262" w:lineRule="auto"/>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change is intended to better reflect the Company's ongoing transformation into a more resilient, diversified energy and solutions provider, as well as its commitment to continuing to evolve alongside customers as the energy transition unfolds.</w:t>
      </w:r>
    </w:p>
    <w:p>
      <w:pPr>
        <w:spacing w:after="0" w:line="1" w:lineRule="exact"/>
        <w:rPr>
          <w:rFonts w:ascii="Arial" w:cs="Arial" w:eastAsia="Arial" w:hAnsi="Arial"/>
          <w:sz w:val="18"/>
          <w:szCs w:val="18"/>
          <w:color w:val="auto"/>
        </w:rPr>
      </w:pPr>
    </w:p>
    <w:p>
      <w:pPr>
        <w:jc w:val="both"/>
        <w:ind w:left="1240" w:hanging="317"/>
        <w:spacing w:after="0" w:line="252" w:lineRule="auto"/>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The Company is working to support customers' core energy requirements today, while also expanding its suite of products and services, to meet the growing need for lower-carbon energy sources and solutions that empower them to more successfully navigate their sustainability journeys.</w:t>
      </w:r>
    </w:p>
    <w:p>
      <w:pPr>
        <w:spacing w:after="0" w:line="194" w:lineRule="exact"/>
        <w:rPr>
          <w:rFonts w:ascii="Arial" w:cs="Arial" w:eastAsia="Arial" w:hAnsi="Arial"/>
          <w:sz w:val="19"/>
          <w:szCs w:val="19"/>
          <w:color w:val="auto"/>
        </w:rPr>
      </w:pPr>
    </w:p>
    <w:p>
      <w:pPr>
        <w:ind w:left="620" w:hanging="311"/>
        <w:spacing w:after="0"/>
        <w:tabs>
          <w:tab w:leader="none" w:pos="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issued $350 million of 3.250% Convertible Senior Notes due 2028 (the "Notes")</w:t>
      </w:r>
    </w:p>
    <w:p>
      <w:pPr>
        <w:spacing w:after="0" w:line="24" w:lineRule="exact"/>
        <w:rPr>
          <w:rFonts w:ascii="Arial" w:cs="Arial" w:eastAsia="Arial" w:hAnsi="Arial"/>
          <w:sz w:val="19"/>
          <w:szCs w:val="19"/>
          <w:b w:val="1"/>
          <w:bCs w:val="1"/>
          <w:color w:val="auto"/>
        </w:rPr>
      </w:pPr>
    </w:p>
    <w:p>
      <w:pPr>
        <w:ind w:left="1240" w:hanging="317"/>
        <w:spacing w:after="0" w:line="249" w:lineRule="auto"/>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The transition not only served to diversify the Company's capital structure, but was structured to significantly protect equity investors from dilution while also allowing the Company to reduce its interest expense.</w:t>
      </w:r>
    </w:p>
    <w:p>
      <w:pPr>
        <w:spacing w:after="0" w:line="1" w:lineRule="exact"/>
        <w:rPr>
          <w:rFonts w:ascii="Arial" w:cs="Arial" w:eastAsia="Arial" w:hAnsi="Arial"/>
          <w:sz w:val="19"/>
          <w:szCs w:val="19"/>
          <w:color w:val="auto"/>
        </w:rPr>
      </w:pPr>
    </w:p>
    <w:p>
      <w:pPr>
        <w:ind w:left="1240" w:hanging="317"/>
        <w:spacing w:after="0" w:line="245" w:lineRule="auto"/>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Dilution upon a conversion of the Notes will be mitigated as a result of the related bond hedge and warrant transactions, which increased the effective conversion price of the Notes to $40.14 per share.</w:t>
      </w:r>
    </w:p>
    <w:p>
      <w:pPr>
        <w:spacing w:after="0" w:line="1" w:lineRule="exact"/>
        <w:rPr>
          <w:rFonts w:ascii="Arial" w:cs="Arial" w:eastAsia="Arial" w:hAnsi="Arial"/>
          <w:sz w:val="19"/>
          <w:szCs w:val="19"/>
          <w:color w:val="auto"/>
        </w:rPr>
      </w:pPr>
    </w:p>
    <w:p>
      <w:pPr>
        <w:ind w:left="1240" w:hanging="317"/>
        <w:spacing w:after="0" w:line="257" w:lineRule="auto"/>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The Company has the option to further minimize dilution in the future by electing to deliver the value of any conversion obligation owed in excess of the principal amount of the Notes in cash, equity or a combination thereof.</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Second Quarter 2023 Segment Profitability</w:t>
      </w:r>
    </w:p>
    <w:p>
      <w:pPr>
        <w:spacing w:after="0" w:line="208" w:lineRule="exact"/>
        <w:rPr>
          <w:sz w:val="20"/>
          <w:szCs w:val="20"/>
          <w:color w:val="auto"/>
        </w:rPr>
      </w:pPr>
    </w:p>
    <w:p>
      <w:pPr>
        <w:jc w:val="both"/>
        <w:ind w:left="620" w:hanging="311"/>
        <w:spacing w:after="0" w:line="278" w:lineRule="auto"/>
        <w:tabs>
          <w:tab w:leader="none" w:pos="62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Aviation – Gross profit of $128 million, an increase of 143% year-over-year, primarily attributable to the impact of significant inventory losses arising from significant price volatility and extreme backwardation experienced during the second quarter of 2022. Gross profit also benefited from higher margins driven by our focus on maintaining returns in a higher interest rate environment.</w:t>
      </w:r>
    </w:p>
    <w:p>
      <w:pPr>
        <w:spacing w:after="0" w:line="163" w:lineRule="exact"/>
        <w:rPr>
          <w:rFonts w:ascii="Arial" w:cs="Arial" w:eastAsia="Arial" w:hAnsi="Arial"/>
          <w:sz w:val="18"/>
          <w:szCs w:val="18"/>
          <w:b w:val="1"/>
          <w:bCs w:val="1"/>
          <w:i w:val="1"/>
          <w:iCs w:val="1"/>
          <w:color w:val="auto"/>
        </w:rPr>
      </w:pPr>
    </w:p>
    <w:p>
      <w:pPr>
        <w:jc w:val="both"/>
        <w:ind w:left="620" w:hanging="311"/>
        <w:spacing w:after="0" w:line="257" w:lineRule="auto"/>
        <w:tabs>
          <w:tab w:leader="none" w:pos="620" w:val="left"/>
        </w:tabs>
        <w:numPr>
          <w:ilvl w:val="0"/>
          <w:numId w:val="4"/>
        </w:numPr>
        <w:rPr>
          <w:rFonts w:ascii="Arial" w:cs="Arial" w:eastAsia="Arial" w:hAnsi="Arial"/>
          <w:sz w:val="19"/>
          <w:szCs w:val="19"/>
          <w:b w:val="1"/>
          <w:bCs w:val="1"/>
          <w:i w:val="1"/>
          <w:iCs w:val="1"/>
          <w:color w:val="auto"/>
        </w:rPr>
      </w:pPr>
      <w:r>
        <w:rPr>
          <w:rFonts w:ascii="Arial" w:cs="Arial" w:eastAsia="Arial" w:hAnsi="Arial"/>
          <w:sz w:val="19"/>
          <w:szCs w:val="19"/>
          <w:color w:val="auto"/>
        </w:rPr>
        <w:t>Land – Gross profit of $111 million, a decrease of 9% year-over-year, primarily driven by our liquid fuel business in North America, as well as our U.K. business, which benefited from significant price volatility in the first half of 2022. This decrease was partially offset by improved performance in our sustainability-related activities.</w:t>
      </w:r>
    </w:p>
    <w:p>
      <w:pPr>
        <w:spacing w:after="0" w:line="180" w:lineRule="exact"/>
        <w:rPr>
          <w:rFonts w:ascii="Arial" w:cs="Arial" w:eastAsia="Arial" w:hAnsi="Arial"/>
          <w:sz w:val="19"/>
          <w:szCs w:val="19"/>
          <w:b w:val="1"/>
          <w:bCs w:val="1"/>
          <w:i w:val="1"/>
          <w:iCs w:val="1"/>
          <w:color w:val="auto"/>
        </w:rPr>
      </w:pPr>
    </w:p>
    <w:p>
      <w:pPr>
        <w:ind w:left="620" w:hanging="311"/>
        <w:spacing w:after="0" w:line="261" w:lineRule="auto"/>
        <w:tabs>
          <w:tab w:leader="none" w:pos="620" w:val="left"/>
        </w:tabs>
        <w:numPr>
          <w:ilvl w:val="0"/>
          <w:numId w:val="4"/>
        </w:numPr>
        <w:rPr>
          <w:rFonts w:ascii="Arial" w:cs="Arial" w:eastAsia="Arial" w:hAnsi="Arial"/>
          <w:sz w:val="19"/>
          <w:szCs w:val="19"/>
          <w:i w:val="1"/>
          <w:iCs w:val="1"/>
          <w:color w:val="auto"/>
        </w:rPr>
      </w:pPr>
      <w:r>
        <w:rPr>
          <w:rFonts w:ascii="Arial" w:cs="Arial" w:eastAsia="Arial" w:hAnsi="Arial"/>
          <w:sz w:val="19"/>
          <w:szCs w:val="19"/>
          <w:color w:val="auto"/>
        </w:rPr>
        <w:t>Marine – Gross profit of $42 million, a decrease of 46% year-over-year, principally due to the significant benefit from near record bunker fuel prices and heightened market volatility in the second quarter of 2022.</w:t>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Year-to-Date 2023 Compared to 2022</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9"/>
          <w:szCs w:val="19"/>
          <w:u w:val="single" w:color="auto"/>
          <w:color w:val="auto"/>
        </w:rPr>
        <w:t>Highlights</w:t>
      </w:r>
    </w:p>
    <w:p>
      <w:pPr>
        <w:spacing w:after="0" w:line="216" w:lineRule="exact"/>
        <w:rPr>
          <w:sz w:val="20"/>
          <w:szCs w:val="20"/>
          <w:color w:val="auto"/>
        </w:rPr>
      </w:pPr>
    </w:p>
    <w:p>
      <w:pPr>
        <w:ind w:left="620" w:hanging="311"/>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Gross profit of $544.4 million, an increase of 12% year-over-year.</w:t>
      </w:r>
    </w:p>
    <w:p>
      <w:pPr>
        <w:spacing w:after="0" w:line="20" w:lineRule="exact"/>
        <w:rPr>
          <w:rFonts w:ascii="Arial" w:cs="Arial" w:eastAsia="Arial" w:hAnsi="Arial"/>
          <w:sz w:val="19"/>
          <w:szCs w:val="19"/>
          <w:color w:val="auto"/>
        </w:rPr>
      </w:pPr>
    </w:p>
    <w:p>
      <w:pPr>
        <w:ind w:left="620" w:hanging="311"/>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Net income of $52.7 million, an increase of 4% year-over-year.</w:t>
      </w:r>
    </w:p>
    <w:p>
      <w:pPr>
        <w:spacing w:after="0" w:line="6" w:lineRule="exact"/>
        <w:rPr>
          <w:rFonts w:ascii="Arial" w:cs="Arial" w:eastAsia="Arial" w:hAnsi="Arial"/>
          <w:sz w:val="19"/>
          <w:szCs w:val="19"/>
          <w:color w:val="auto"/>
        </w:rPr>
      </w:pPr>
    </w:p>
    <w:p>
      <w:pPr>
        <w:ind w:left="620" w:hanging="311"/>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Adjusted EBITDA of $185.7 million, an increase of 23% year-over-year.</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9"/>
          <w:szCs w:val="19"/>
          <w:u w:val="single" w:color="auto"/>
          <w:color w:val="auto"/>
        </w:rPr>
        <w:t>Segment Profitability</w:t>
      </w:r>
    </w:p>
    <w:p>
      <w:pPr>
        <w:spacing w:after="0" w:line="204" w:lineRule="exact"/>
        <w:rPr>
          <w:sz w:val="20"/>
          <w:szCs w:val="20"/>
          <w:color w:val="auto"/>
        </w:rPr>
      </w:pPr>
    </w:p>
    <w:p>
      <w:pPr>
        <w:ind w:left="620" w:hanging="311"/>
        <w:spacing w:after="0"/>
        <w:tabs>
          <w:tab w:leader="none" w:pos="620" w:val="left"/>
        </w:tabs>
        <w:numPr>
          <w:ilvl w:val="0"/>
          <w:numId w:val="6"/>
        </w:numPr>
        <w:rPr>
          <w:rFonts w:ascii="Arial" w:cs="Arial" w:eastAsia="Arial" w:hAnsi="Arial"/>
          <w:sz w:val="19"/>
          <w:szCs w:val="19"/>
          <w:i w:val="1"/>
          <w:iCs w:val="1"/>
          <w:color w:val="auto"/>
        </w:rPr>
      </w:pPr>
      <w:r>
        <w:rPr>
          <w:rFonts w:ascii="Arial" w:cs="Arial" w:eastAsia="Arial" w:hAnsi="Arial"/>
          <w:sz w:val="19"/>
          <w:szCs w:val="19"/>
          <w:color w:val="auto"/>
        </w:rPr>
        <w:t>Aviation – Gross profit of $228.8 million, an increase of 96% year-over-year.</w:t>
      </w:r>
    </w:p>
    <w:p>
      <w:pPr>
        <w:spacing w:after="0" w:line="20" w:lineRule="exact"/>
        <w:rPr>
          <w:rFonts w:ascii="Arial" w:cs="Arial" w:eastAsia="Arial" w:hAnsi="Arial"/>
          <w:sz w:val="19"/>
          <w:szCs w:val="19"/>
          <w:i w:val="1"/>
          <w:iCs w:val="1"/>
          <w:color w:val="auto"/>
        </w:rPr>
      </w:pPr>
    </w:p>
    <w:p>
      <w:pPr>
        <w:ind w:left="620" w:hanging="311"/>
        <w:spacing w:after="0"/>
        <w:tabs>
          <w:tab w:leader="none" w:pos="620" w:val="left"/>
        </w:tabs>
        <w:numPr>
          <w:ilvl w:val="0"/>
          <w:numId w:val="6"/>
        </w:numPr>
        <w:rPr>
          <w:rFonts w:ascii="Arial" w:cs="Arial" w:eastAsia="Arial" w:hAnsi="Arial"/>
          <w:sz w:val="19"/>
          <w:szCs w:val="19"/>
          <w:i w:val="1"/>
          <w:iCs w:val="1"/>
          <w:color w:val="auto"/>
        </w:rPr>
      </w:pPr>
      <w:r>
        <w:rPr>
          <w:rFonts w:ascii="Arial" w:cs="Arial" w:eastAsia="Arial" w:hAnsi="Arial"/>
          <w:sz w:val="19"/>
          <w:szCs w:val="19"/>
          <w:color w:val="auto"/>
        </w:rPr>
        <w:t>Land – Gross profit of $221.6 million, a decrease of 8% year-over-year.</w:t>
      </w:r>
    </w:p>
    <w:p>
      <w:pPr>
        <w:spacing w:after="0" w:line="11" w:lineRule="exact"/>
        <w:rPr>
          <w:rFonts w:ascii="Arial" w:cs="Arial" w:eastAsia="Arial" w:hAnsi="Arial"/>
          <w:sz w:val="19"/>
          <w:szCs w:val="19"/>
          <w:i w:val="1"/>
          <w:iCs w:val="1"/>
          <w:color w:val="auto"/>
        </w:rPr>
      </w:pPr>
    </w:p>
    <w:p>
      <w:pPr>
        <w:ind w:left="620" w:hanging="311"/>
        <w:spacing w:after="0"/>
        <w:tabs>
          <w:tab w:leader="none" w:pos="620" w:val="left"/>
        </w:tabs>
        <w:numPr>
          <w:ilvl w:val="0"/>
          <w:numId w:val="6"/>
        </w:numPr>
        <w:rPr>
          <w:rFonts w:ascii="Arial" w:cs="Arial" w:eastAsia="Arial" w:hAnsi="Arial"/>
          <w:sz w:val="19"/>
          <w:szCs w:val="19"/>
          <w:i w:val="1"/>
          <w:iCs w:val="1"/>
          <w:color w:val="auto"/>
        </w:rPr>
      </w:pPr>
      <w:r>
        <w:rPr>
          <w:rFonts w:ascii="Arial" w:cs="Arial" w:eastAsia="Arial" w:hAnsi="Arial"/>
          <w:sz w:val="19"/>
          <w:szCs w:val="19"/>
          <w:color w:val="auto"/>
        </w:rPr>
        <w:t>Marine – Gross profit of $94.0 million, a decrease of 25% year-over-year.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Earnings Conference Call</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An investor conference call will be held today, July 27, 2023, at 5:00 PM Eastern Time to discuss second quarter results. Participants can access the live webcast or participate by phone by visiting the company’s website at https://ir.worldkinect.com. To join the conference call by phone, participants must pre-register and will then receive dial-in information and a PIN enabling access to the call. A replay of the webcast will be available and can be accessed in the same manner as the live webcast on the Company’s website through August 9, 2023.</w:t>
      </w: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About World Kinect Corporation</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Headquartered in Miami, Florida, World Kinect Corporation (NYSE: WKC) is a leading global energy management company, offering a broad suite of solutions across the energy product spectrum. In addition to our core energy and fuel offerings to customers in the transportation sector, we provide advisory services, sustainability and renewable energy solutions, as well as supply fulfillment for natural gas and power. We continue to focus on advancing the energy transition to lower carbon alternatives through expanding our portfolio of energy solutions and providing customers with greater access to sustainably sourced energy.</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visit https://corp.worldkinect.com.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Contacts: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Ira M. Birns, Executive Vice President &amp;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Elsa Ballard, Vice President of Investor Relations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investor@worldkinect.com</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Definitions and Non-GAAP Financial Measures</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This press release makes reference to "Net income." Net income means Net income attributable to World Kinect as presented in the Statements of Income and Comprehensive Income.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This press release contains non-GAAP financial measures (collectively, the "Non-GAAP Measures"), including the following:</w:t>
      </w:r>
    </w:p>
    <w:p>
      <w:pPr>
        <w:spacing w:after="0" w:line="114" w:lineRule="exact"/>
        <w:rPr>
          <w:sz w:val="20"/>
          <w:szCs w:val="20"/>
          <w:color w:val="auto"/>
        </w:rPr>
      </w:pPr>
    </w:p>
    <w:p>
      <w:pPr>
        <w:ind w:left="620" w:hanging="311"/>
        <w:spacing w:after="0"/>
        <w:tabs>
          <w:tab w:leader="none" w:pos="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income from operations;</w:t>
      </w:r>
    </w:p>
    <w:p>
      <w:pPr>
        <w:spacing w:after="0" w:line="14" w:lineRule="exact"/>
        <w:rPr>
          <w:rFonts w:ascii="Arial" w:cs="Arial" w:eastAsia="Arial" w:hAnsi="Arial"/>
          <w:sz w:val="19"/>
          <w:szCs w:val="19"/>
          <w:color w:val="auto"/>
        </w:rPr>
      </w:pPr>
    </w:p>
    <w:p>
      <w:pPr>
        <w:ind w:left="620" w:hanging="311"/>
        <w:spacing w:after="0"/>
        <w:tabs>
          <w:tab w:leader="none" w:pos="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income from operations as a percentage of gross profit;</w:t>
      </w:r>
    </w:p>
    <w:p>
      <w:pPr>
        <w:spacing w:after="0" w:line="4" w:lineRule="exact"/>
        <w:rPr>
          <w:rFonts w:ascii="Arial" w:cs="Arial" w:eastAsia="Arial" w:hAnsi="Arial"/>
          <w:sz w:val="19"/>
          <w:szCs w:val="19"/>
          <w:color w:val="auto"/>
        </w:rPr>
      </w:pPr>
    </w:p>
    <w:p>
      <w:pPr>
        <w:ind w:left="620" w:hanging="311"/>
        <w:spacing w:after="0"/>
        <w:tabs>
          <w:tab w:leader="none" w:pos="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earnings before interest, taxes, depreciation and amortization ("EBITDA");</w:t>
      </w:r>
    </w:p>
    <w:p>
      <w:pPr>
        <w:spacing w:after="0" w:line="11" w:lineRule="exact"/>
        <w:rPr>
          <w:rFonts w:ascii="Arial" w:cs="Arial" w:eastAsia="Arial" w:hAnsi="Arial"/>
          <w:sz w:val="19"/>
          <w:szCs w:val="19"/>
          <w:color w:val="auto"/>
        </w:rPr>
      </w:pPr>
    </w:p>
    <w:p>
      <w:pPr>
        <w:ind w:left="620" w:hanging="311"/>
        <w:spacing w:after="0"/>
        <w:tabs>
          <w:tab w:leader="none" w:pos="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net income attributable to World Kinect; and</w:t>
      </w:r>
    </w:p>
    <w:p>
      <w:pPr>
        <w:spacing w:after="0" w:line="6" w:lineRule="exact"/>
        <w:rPr>
          <w:rFonts w:ascii="Arial" w:cs="Arial" w:eastAsia="Arial" w:hAnsi="Arial"/>
          <w:sz w:val="19"/>
          <w:szCs w:val="19"/>
          <w:color w:val="auto"/>
        </w:rPr>
      </w:pPr>
    </w:p>
    <w:p>
      <w:pPr>
        <w:ind w:left="620" w:hanging="311"/>
        <w:spacing w:after="0"/>
        <w:tabs>
          <w:tab w:leader="none" w:pos="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diluted earnings per common share.</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Non-GAAP Measures exclude acquisition and divestiture related expenses, restructuring charges, impairments, gains or losses on the extinguishment of debt, gains or losses on sale of businesses, integration costs associated with our acquisitions, and non-operating legal settlements primarily because we do not believe they are reflective of our core operating results.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believe that the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66"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Non-GAAP financial measures should not be considered in isolation from, or as a substitute for, financial information prepared in accordance with GAAP. In addition, our presentation of the Non-GAAP Measures may not be comparable to the presentation of such metrics by other companies.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9"/>
          <w:szCs w:val="19"/>
          <w:color w:val="auto"/>
        </w:rPr>
        <w:t>Adjusted net income attributable to World Kinect is defined as net income (loss) attributable to World Kinect excluding the impact of acquisition and divestiture related expenses, restructuring charges, impairments, gains or losses on the extinguishment of debt, gains or losses on sale of businesses, integration costs, and non-operating legal settlements.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Adjusted diluted earnings per common share is computed by dividing adjusted net income attributable to World Kinect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Adjusted EBITDA is defined as net income (loss) excluding the impact of interest, income taxes, and depreciation and amortization, in addition to acquisition and divestiture related expenses, restructuring charges, impairments, gains or losses on sale of businesses, integration costs, and non-operating legal settlements.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Adjusted income from operations is defined as Income from operations excluding the impact of acquisition and divestiture related expenses, restructuring charges, impairments, and integration costs. Adjusted income from operations as a percentage of gross profit is computed by dividing adjusted income from operations by gross profit.</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Investors are encouraged to review the reconciliation of these Non-GAAP Measures to their most directly comparable GAAP financial measures in this press release and on our website.</w:t>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Information Relating to Forward-Looking Statements</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This release includes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release includes forward-looking statements regarding expectations for our future plans and performance, the expansion of our certain of our products and services, including those relating to sustainability, and the development of our business following our recent name change. Our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customer and counterparty creditworthiness and our ability to collect accounts receivable and settle derivative contracts; sudden changes in the market price of fuel or extremely high or low fuel prices that continue for an extended period of time; adverse conditions in the industries in which our customers operate; our inability to effectively mitigate certain financial risks and other risks associated with derivatives and our physical fuel products; relationships with our employees and potential labor disputes associated with employees covered by collective bargaining agreements; our failure to comply with restrictions and covenants governing our outstanding indebtedness; the impact of cyber and other information security related incidents; changes in the political, economic or regulatory environment generally and in the markets in which we operate, such as the current conflict in Eastern Europe; 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 changes in credit terms extended to us from our suppliers; non-performance of suppliers on their sale commitments and customers on their purchase commitments; non-performance of third-party service providers; our ability to effectively integrate and derive benefits from acquired businesses; our ability to meet financial forecasts associated with our operating plan; lower than expected cash flows and revenues, which could impair our ability to realize the value of recorded intangible assets and goodwill; the availability of cash and sufficient liquidity to fund our working capital and strategic investment needs; currency exchange fluctuations; inflationary pressures and their impact on our customers or the global economy, including sudden or significant increases in interest rates or a global recession; our ability to effectively leverage technology and operating systems and realize the anticipated benefits; failure to meet fuel and other product specifications agreed with our customers; environmental and other risks associated with the storage, transportation and delivery of petroleum products; reputational harm from adverse publicity arising out of spills,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095" w:right="339" w:bottom="1440" w:gutter="0" w:footer="0" w:header="0"/>
        </w:sectPr>
      </w:pPr>
    </w:p>
    <w:bookmarkStart w:id="7" w:name="page8"/>
    <w:bookmarkEnd w:id="7"/>
    <w:p>
      <w:pPr>
        <w:jc w:val="both"/>
        <w:spacing w:after="0" w:line="280" w:lineRule="auto"/>
        <w:rPr>
          <w:sz w:val="20"/>
          <w:szCs w:val="20"/>
          <w:color w:val="auto"/>
        </w:rPr>
      </w:pPr>
      <w:r>
        <w:rPr>
          <w:rFonts w:ascii="Arial" w:cs="Arial" w:eastAsia="Arial" w:hAnsi="Arial"/>
          <w:sz w:val="17"/>
          <w:szCs w:val="17"/>
          <w:color w:val="auto"/>
        </w:rPr>
        <w:t>environmental contamination or public perception about the impacts on climate change by us or other companies in our industry; risks associated with operating in high-risk locations, including supply disruptions, border closures and other logistical difficulties that arise when working in these areas; uninsured or underinsured losses; seasonal variability that adversely affects our revenues and operating results, as well as the impact of natural disasters, such as earthquakes, hurricanes and wildfires; declines in the value and liquidity of cash equivalents and investments; our ability to retain and attract senior management and other key employees; changes in U.S. or foreign tax laws, interpretations of such laws, changes in the mix of taxable income among different tax jurisdictions, or adverse results of tax audits, assessments, or disputes; our failure to generate sufficient future taxable income in jurisdictions with material deferred tax assets and net operating loss carryforwards; the impact of the U.K.'s exit from the European Union, known as Brexit, on our business, operations and financial condition; our ability to comply with U.S. and international laws and regulations, including those related to anti-corruption, economic sanction programs and environmental matters; the outcome of litigation and other proceedings, including the costs associated in defending any actions;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200" w:lineRule="exact"/>
        <w:rPr>
          <w:sz w:val="20"/>
          <w:szCs w:val="20"/>
          <w:color w:val="auto"/>
        </w:rPr>
      </w:pPr>
    </w:p>
    <w:p>
      <w:pPr>
        <w:spacing w:after="0" w:line="302" w:lineRule="exact"/>
        <w:rPr>
          <w:sz w:val="20"/>
          <w:szCs w:val="20"/>
          <w:color w:val="auto"/>
        </w:rPr>
      </w:pPr>
    </w:p>
    <w:p>
      <w:pPr>
        <w:jc w:val="center"/>
        <w:ind w:left="340" w:right="600"/>
        <w:spacing w:after="0" w:line="430" w:lineRule="auto"/>
        <w:rPr>
          <w:sz w:val="20"/>
          <w:szCs w:val="20"/>
          <w:color w:val="auto"/>
        </w:rPr>
      </w:pPr>
      <w:r>
        <w:rPr>
          <w:rFonts w:ascii="Arial" w:cs="Arial" w:eastAsia="Arial" w:hAnsi="Arial"/>
          <w:sz w:val="19"/>
          <w:szCs w:val="19"/>
          <w:color w:val="auto"/>
        </w:rPr>
        <w:t>-- Some amounts in this press release may not add due to rounding. All percentages have been calculated using unrounded amounts -- 5</w:t>
      </w:r>
    </w:p>
    <w:p>
      <w:pPr>
        <w:sectPr>
          <w:pgSz w:w="11900" w:h="16838" w:orient="portrait"/>
          <w:cols w:equalWidth="0" w:num="1">
            <w:col w:w="11240"/>
          </w:cols>
          <w:pgMar w:left="320" w:top="119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WORLD KINECT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 - In millions,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June 30, 2023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94"/>
              </w:rPr>
              <w:t>December 31, 2022</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7"/>
        </w:trPr>
        <w:tc>
          <w:tcPr>
            <w:tcW w:w="73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298.4</w:t>
            </w:r>
          </w:p>
        </w:tc>
      </w:tr>
      <w:tr>
        <w:trPr>
          <w:trHeight w:val="179"/>
        </w:trPr>
        <w:tc>
          <w:tcPr>
            <w:tcW w:w="7360" w:type="dxa"/>
            <w:vAlign w:val="bottom"/>
          </w:tcPr>
          <w:p>
            <w:pPr>
              <w:ind w:left="140"/>
              <w:spacing w:after="0" w:line="180" w:lineRule="exact"/>
              <w:rPr>
                <w:sz w:val="20"/>
                <w:szCs w:val="20"/>
                <w:color w:val="auto"/>
              </w:rPr>
            </w:pPr>
            <w:r>
              <w:rPr>
                <w:rFonts w:ascii="Arial" w:cs="Arial" w:eastAsia="Arial" w:hAnsi="Arial"/>
                <w:sz w:val="17"/>
                <w:szCs w:val="17"/>
                <w:color w:val="auto"/>
              </w:rPr>
              <w:t>Accounts receivable, net of allowance for credit losses of $15.2 million and $14.1 million as of</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17"/>
        </w:trPr>
        <w:tc>
          <w:tcPr>
            <w:tcW w:w="7360" w:type="dxa"/>
            <w:vAlign w:val="bottom"/>
          </w:tcPr>
          <w:p>
            <w:pPr>
              <w:ind w:left="140"/>
              <w:spacing w:after="0"/>
              <w:rPr>
                <w:sz w:val="20"/>
                <w:szCs w:val="20"/>
                <w:color w:val="auto"/>
              </w:rPr>
            </w:pPr>
            <w:r>
              <w:rPr>
                <w:rFonts w:ascii="Arial" w:cs="Arial" w:eastAsia="Arial" w:hAnsi="Arial"/>
                <w:sz w:val="17"/>
                <w:szCs w:val="17"/>
                <w:color w:val="auto"/>
              </w:rPr>
              <w:t>June 30, 2023 and 2022, respectively</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2,473.3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3,294.1</w:t>
            </w:r>
          </w:p>
        </w:tc>
      </w:tr>
      <w:tr>
        <w:trPr>
          <w:trHeight w:val="218"/>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23"/>
        </w:trPr>
        <w:tc>
          <w:tcPr>
            <w:tcW w:w="7360" w:type="dxa"/>
            <w:vAlign w:val="bottom"/>
          </w:tcPr>
          <w:p>
            <w:pPr>
              <w:ind w:left="140"/>
              <w:spacing w:after="0"/>
              <w:rPr>
                <w:sz w:val="20"/>
                <w:szCs w:val="20"/>
                <w:color w:val="auto"/>
              </w:rPr>
            </w:pPr>
            <w:r>
              <w:rPr>
                <w:rFonts w:ascii="Arial" w:cs="Arial" w:eastAsia="Arial" w:hAnsi="Arial"/>
                <w:sz w:val="17"/>
                <w:szCs w:val="17"/>
                <w:color w:val="auto"/>
              </w:rPr>
              <w:t>Prepaid expenses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83.6</w:t>
            </w:r>
          </w:p>
        </w:tc>
      </w:tr>
      <w:tr>
        <w:trPr>
          <w:trHeight w:val="224"/>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derivative assets,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302.1</w:t>
            </w:r>
          </w:p>
        </w:tc>
      </w:tr>
      <w:tr>
        <w:trPr>
          <w:trHeight w:val="217"/>
        </w:trPr>
        <w:tc>
          <w:tcPr>
            <w:tcW w:w="7360" w:type="dxa"/>
            <w:vAlign w:val="bottom"/>
          </w:tcPr>
          <w:p>
            <w:pPr>
              <w:ind w:left="14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479.9</w:t>
            </w:r>
          </w:p>
        </w:tc>
      </w:tr>
      <w:tr>
        <w:trPr>
          <w:trHeight w:val="224"/>
        </w:trPr>
        <w:tc>
          <w:tcPr>
            <w:tcW w:w="7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current 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5,238.1</w:t>
            </w:r>
          </w:p>
        </w:tc>
      </w:tr>
      <w:tr>
        <w:trPr>
          <w:trHeight w:val="217"/>
        </w:trPr>
        <w:tc>
          <w:tcPr>
            <w:tcW w:w="73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507.3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484.2</w:t>
            </w:r>
          </w:p>
        </w:tc>
      </w:tr>
      <w:tr>
        <w:trPr>
          <w:trHeight w:val="218"/>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1,233.0</w:t>
            </w:r>
          </w:p>
        </w:tc>
      </w:tr>
      <w:tr>
        <w:trPr>
          <w:trHeight w:val="223"/>
        </w:trPr>
        <w:tc>
          <w:tcPr>
            <w:tcW w:w="7360" w:type="dxa"/>
            <w:vAlign w:val="bottom"/>
          </w:tcPr>
          <w:p>
            <w:pPr>
              <w:ind w:left="20"/>
              <w:spacing w:after="0"/>
              <w:rPr>
                <w:sz w:val="20"/>
                <w:szCs w:val="20"/>
                <w:color w:val="auto"/>
              </w:rPr>
            </w:pPr>
            <w:r>
              <w:rPr>
                <w:rFonts w:ascii="Arial" w:cs="Arial" w:eastAsia="Arial" w:hAnsi="Arial"/>
                <w:sz w:val="17"/>
                <w:szCs w:val="17"/>
                <w:color w:val="auto"/>
              </w:rPr>
              <w:t>Identifiable intangible assets,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318.1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336.2</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873.2</w:t>
            </w:r>
          </w:p>
        </w:tc>
      </w:tr>
      <w:tr>
        <w:trPr>
          <w:trHeight w:val="211"/>
        </w:trPr>
        <w:tc>
          <w:tcPr>
            <w:tcW w:w="7360" w:type="dxa"/>
            <w:vAlign w:val="bottom"/>
          </w:tcPr>
          <w:p>
            <w:pPr>
              <w:ind w:left="100"/>
              <w:spacing w:after="0"/>
              <w:rPr>
                <w:sz w:val="20"/>
                <w:szCs w:val="20"/>
                <w:color w:val="auto"/>
              </w:rPr>
            </w:pPr>
            <w:r>
              <w:rPr>
                <w:rFonts w:ascii="Arial" w:cs="Arial" w:eastAsia="Arial" w:hAnsi="Arial"/>
                <w:sz w:val="17"/>
                <w:szCs w:val="17"/>
                <w:color w:val="auto"/>
              </w:rPr>
              <w:t>Total assets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6,961.9</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8,164.6</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7"/>
        </w:trPr>
        <w:tc>
          <w:tcPr>
            <w:tcW w:w="73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maturities of long-term debt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23"/>
        </w:trPr>
        <w:tc>
          <w:tcPr>
            <w:tcW w:w="736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2,708.7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3,529.5</w:t>
            </w:r>
          </w:p>
        </w:tc>
      </w:tr>
      <w:tr>
        <w:trPr>
          <w:trHeight w:val="224"/>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derivative liabilities,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325.2</w:t>
            </w:r>
          </w:p>
        </w:tc>
      </w:tr>
      <w:tr>
        <w:trPr>
          <w:trHeight w:val="217"/>
        </w:trPr>
        <w:tc>
          <w:tcPr>
            <w:tcW w:w="7360" w:type="dxa"/>
            <w:vAlign w:val="bottom"/>
          </w:tcPr>
          <w:p>
            <w:pPr>
              <w:ind w:left="14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738.2</w:t>
            </w:r>
          </w:p>
        </w:tc>
      </w:tr>
      <w:tr>
        <w:trPr>
          <w:trHeight w:val="224"/>
        </w:trPr>
        <w:tc>
          <w:tcPr>
            <w:tcW w:w="7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current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4,608.6</w:t>
            </w:r>
          </w:p>
        </w:tc>
      </w:tr>
      <w:tr>
        <w:trPr>
          <w:trHeight w:val="217"/>
        </w:trPr>
        <w:tc>
          <w:tcPr>
            <w:tcW w:w="736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816.2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829.9</w:t>
            </w:r>
          </w:p>
        </w:tc>
      </w:tr>
      <w:tr>
        <w:trPr>
          <w:trHeight w:val="217"/>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735.3</w:t>
            </w:r>
          </w:p>
        </w:tc>
      </w:tr>
      <w:tr>
        <w:trPr>
          <w:trHeight w:val="223"/>
        </w:trPr>
        <w:tc>
          <w:tcPr>
            <w:tcW w:w="73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6,173.8</w:t>
            </w:r>
          </w:p>
        </w:tc>
      </w:tr>
      <w:tr>
        <w:trPr>
          <w:trHeight w:val="198"/>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7"/>
                <w:szCs w:val="17"/>
                <w:color w:val="auto"/>
              </w:rPr>
              <w:t>Equity:</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World Kinect shareholders' equity:</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7"/>
        </w:trPr>
        <w:tc>
          <w:tcPr>
            <w:tcW w:w="7360" w:type="dxa"/>
            <w:vAlign w:val="bottom"/>
          </w:tcPr>
          <w:p>
            <w:pPr>
              <w:ind w:left="140"/>
              <w:spacing w:after="0"/>
              <w:rPr>
                <w:sz w:val="20"/>
                <w:szCs w:val="20"/>
                <w:color w:val="auto"/>
              </w:rPr>
            </w:pPr>
            <w:r>
              <w:rPr>
                <w:rFonts w:ascii="Arial" w:cs="Arial" w:eastAsia="Arial" w:hAnsi="Arial"/>
                <w:sz w:val="17"/>
                <w:szCs w:val="17"/>
                <w:color w:val="auto"/>
              </w:rPr>
              <w:t>Preferred stock, $1.00 par value; 0.1 shares authorized, none issued</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80"/>
        </w:trPr>
        <w:tc>
          <w:tcPr>
            <w:tcW w:w="7360" w:type="dxa"/>
            <w:vAlign w:val="bottom"/>
            <w:shd w:val="clear" w:color="auto" w:fill="CCEEFF"/>
          </w:tcPr>
          <w:p>
            <w:pPr>
              <w:ind w:left="140"/>
              <w:spacing w:after="0" w:line="180" w:lineRule="exact"/>
              <w:rPr>
                <w:sz w:val="20"/>
                <w:szCs w:val="20"/>
                <w:color w:val="auto"/>
              </w:rPr>
            </w:pPr>
            <w:r>
              <w:rPr>
                <w:rFonts w:ascii="Arial" w:cs="Arial" w:eastAsia="Arial" w:hAnsi="Arial"/>
                <w:sz w:val="17"/>
                <w:szCs w:val="17"/>
                <w:color w:val="auto"/>
                <w:w w:val="93"/>
              </w:rPr>
              <w:t>Common stock, $0.01 par value; 100.0 shares authorized, 60.2 and 62.0 issued and outstanding as of</w:t>
            </w: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June 30, 2023 and December 31, 2022, respectively</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7"/>
        </w:trPr>
        <w:tc>
          <w:tcPr>
            <w:tcW w:w="7360" w:type="dxa"/>
            <w:vAlign w:val="bottom"/>
          </w:tcPr>
          <w:p>
            <w:pPr>
              <w:ind w:left="140"/>
              <w:spacing w:after="0"/>
              <w:rPr>
                <w:sz w:val="20"/>
                <w:szCs w:val="20"/>
                <w:color w:val="auto"/>
              </w:rPr>
            </w:pPr>
            <w:r>
              <w:rPr>
                <w:rFonts w:ascii="Arial" w:cs="Arial" w:eastAsia="Arial" w:hAnsi="Arial"/>
                <w:sz w:val="17"/>
                <w:szCs w:val="17"/>
                <w:color w:val="auto"/>
              </w:rPr>
              <w:t>Capital in excess of par value</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182.4</w:t>
            </w:r>
          </w:p>
        </w:tc>
      </w:tr>
      <w:tr>
        <w:trPr>
          <w:trHeight w:val="231"/>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1,962.5</w:t>
            </w:r>
          </w:p>
        </w:tc>
      </w:tr>
      <w:tr>
        <w:trPr>
          <w:trHeight w:val="217"/>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(160.6)</w:t>
            </w:r>
          </w:p>
        </w:tc>
      </w:tr>
      <w:tr>
        <w:trPr>
          <w:trHeight w:val="211"/>
        </w:trPr>
        <w:tc>
          <w:tcPr>
            <w:tcW w:w="7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World Kinect shareholders' equity</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1,984.9</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210"/>
        </w:trPr>
        <w:tc>
          <w:tcPr>
            <w:tcW w:w="7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equity</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1,965.2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1,990.7</w:t>
            </w:r>
          </w:p>
        </w:tc>
      </w:tr>
      <w:tr>
        <w:trPr>
          <w:trHeight w:val="211"/>
        </w:trPr>
        <w:tc>
          <w:tcPr>
            <w:tcW w:w="7360" w:type="dxa"/>
            <w:vAlign w:val="bottom"/>
          </w:tcPr>
          <w:p>
            <w:pPr>
              <w:ind w:left="220"/>
              <w:spacing w:after="0"/>
              <w:rPr>
                <w:sz w:val="20"/>
                <w:szCs w:val="20"/>
                <w:color w:val="auto"/>
              </w:rPr>
            </w:pPr>
            <w:r>
              <w:rPr>
                <w:rFonts w:ascii="Arial" w:cs="Arial" w:eastAsia="Arial" w:hAnsi="Arial"/>
                <w:sz w:val="17"/>
                <w:szCs w:val="17"/>
                <w:color w:val="auto"/>
              </w:rPr>
              <w:t>Total liabilities and equity</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6,961.9</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8,164.6</w:t>
            </w:r>
          </w:p>
        </w:tc>
      </w:tr>
      <w:tr>
        <w:trPr>
          <w:trHeight w:val="20"/>
        </w:trPr>
        <w:tc>
          <w:tcPr>
            <w:tcW w:w="7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09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WORLD KINECT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 AND COMPREHENSIVE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gridSpan w:val="5"/>
          </w:tcPr>
          <w:p>
            <w:pPr>
              <w:ind w:left="4020"/>
              <w:spacing w:after="0"/>
              <w:rPr>
                <w:sz w:val="20"/>
                <w:szCs w:val="20"/>
                <w:color w:val="auto"/>
              </w:rPr>
            </w:pPr>
            <w:r>
              <w:rPr>
                <w:rFonts w:ascii="Arial" w:cs="Arial" w:eastAsia="Arial" w:hAnsi="Arial"/>
                <w:sz w:val="17"/>
                <w:szCs w:val="17"/>
                <w:color w:val="auto"/>
                <w:w w:val="92"/>
              </w:rPr>
              <w:t>(Unaudited – In millions, except per share data)</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420" w:type="dxa"/>
            <w:vAlign w:val="bottom"/>
          </w:tcPr>
          <w:p>
            <w:pPr>
              <w:spacing w:after="0"/>
              <w:rPr>
                <w:sz w:val="24"/>
                <w:szCs w:val="24"/>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w w:val="91"/>
              </w:rPr>
              <w:t>For the Three Months Ended June 30,</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7"/>
                <w:szCs w:val="17"/>
                <w:b w:val="1"/>
                <w:bCs w:val="1"/>
                <w:color w:val="auto"/>
                <w:w w:val="90"/>
              </w:rPr>
              <w:t>For the Six Months Ended June 30,</w:t>
            </w:r>
          </w:p>
        </w:tc>
        <w:tc>
          <w:tcPr>
            <w:tcW w:w="0" w:type="dxa"/>
            <w:vAlign w:val="bottom"/>
          </w:tcPr>
          <w:p>
            <w:pPr>
              <w:spacing w:after="0"/>
              <w:rPr>
                <w:sz w:val="1"/>
                <w:szCs w:val="1"/>
                <w:color w:val="auto"/>
              </w:rPr>
            </w:pPr>
          </w:p>
        </w:tc>
      </w:tr>
      <w:tr>
        <w:trPr>
          <w:trHeight w:val="218"/>
        </w:trPr>
        <w:tc>
          <w:tcPr>
            <w:tcW w:w="5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10,980.7</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23,462.3</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29,504.1</w:t>
            </w:r>
          </w:p>
        </w:tc>
        <w:tc>
          <w:tcPr>
            <w:tcW w:w="0" w:type="dxa"/>
            <w:vAlign w:val="bottom"/>
          </w:tcPr>
          <w:p>
            <w:pPr>
              <w:spacing w:after="0"/>
              <w:rPr>
                <w:sz w:val="1"/>
                <w:szCs w:val="1"/>
                <w:color w:val="auto"/>
              </w:rPr>
            </w:pPr>
          </w:p>
        </w:tc>
      </w:tr>
      <w:tr>
        <w:trPr>
          <w:trHeight w:val="217"/>
        </w:trPr>
        <w:tc>
          <w:tcPr>
            <w:tcW w:w="542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10,699.0</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16,868.7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22,917.9</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29,019.8</w:t>
            </w: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281.7</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484.4</w:t>
            </w:r>
          </w:p>
        </w:tc>
        <w:tc>
          <w:tcPr>
            <w:tcW w:w="0" w:type="dxa"/>
            <w:vAlign w:val="bottom"/>
          </w:tcPr>
          <w:p>
            <w:pPr>
              <w:spacing w:after="0"/>
              <w:rPr>
                <w:sz w:val="1"/>
                <w:szCs w:val="1"/>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Compensation and employee benefits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233.2</w:t>
            </w:r>
          </w:p>
        </w:tc>
        <w:tc>
          <w:tcPr>
            <w:tcW w:w="0" w:type="dxa"/>
            <w:vAlign w:val="bottom"/>
          </w:tcPr>
          <w:p>
            <w:pPr>
              <w:spacing w:after="0"/>
              <w:rPr>
                <w:sz w:val="1"/>
                <w:szCs w:val="1"/>
                <w:color w:val="auto"/>
              </w:rPr>
            </w:pPr>
          </w:p>
        </w:tc>
      </w:tr>
      <w:tr>
        <w:trPr>
          <w:trHeight w:val="217"/>
        </w:trPr>
        <w:tc>
          <w:tcPr>
            <w:tcW w:w="542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80.8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159.8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157.1</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impairments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420" w:type="dxa"/>
            <w:vAlign w:val="bottom"/>
          </w:tcPr>
          <w:p>
            <w:pPr>
              <w:ind w:left="2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206.2</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404.3</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390.3</w:t>
            </w: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7"/>
                <w:szCs w:val="17"/>
                <w:color w:val="auto"/>
              </w:rPr>
              <w:t>Non-operating income (expenses), net: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 and other financing costs, net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17"/>
        </w:trPr>
        <w:tc>
          <w:tcPr>
            <w:tcW w:w="5420" w:type="dxa"/>
            <w:vAlign w:val="bottom"/>
          </w:tcPr>
          <w:p>
            <w:pPr>
              <w:ind w:left="140"/>
              <w:spacing w:after="0"/>
              <w:rPr>
                <w:sz w:val="20"/>
                <w:szCs w:val="20"/>
                <w:color w:val="auto"/>
              </w:rPr>
            </w:pPr>
            <w:r>
              <w:rPr>
                <w:rFonts w:ascii="Arial" w:cs="Arial" w:eastAsia="Arial" w:hAnsi="Arial"/>
                <w:sz w:val="17"/>
                <w:szCs w:val="17"/>
                <w:color w:val="auto"/>
              </w:rPr>
              <w:t>Other income (expense),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1"/>
        </w:trPr>
        <w:tc>
          <w:tcPr>
            <w:tcW w:w="5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non-operating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2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7"/>
                <w:szCs w:val="17"/>
                <w:color w:val="auto"/>
              </w:rPr>
              <w:t>Net income (loss) including noncontrolling interest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noncontrolling interest</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1"/>
        </w:trPr>
        <w:tc>
          <w:tcPr>
            <w:tcW w:w="5420" w:type="dxa"/>
            <w:vAlign w:val="bottom"/>
          </w:tcPr>
          <w:p>
            <w:pPr>
              <w:ind w:left="20"/>
              <w:spacing w:after="0"/>
              <w:rPr>
                <w:sz w:val="20"/>
                <w:szCs w:val="20"/>
                <w:color w:val="auto"/>
              </w:rPr>
            </w:pPr>
            <w:r>
              <w:rPr>
                <w:rFonts w:ascii="Arial" w:cs="Arial" w:eastAsia="Arial" w:hAnsi="Arial"/>
                <w:sz w:val="17"/>
                <w:szCs w:val="17"/>
                <w:color w:val="auto"/>
              </w:rPr>
              <w:t>Net income (loss) attributable to World Kinect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29.9</w:t>
            </w:r>
          </w:p>
        </w:tc>
        <w:tc>
          <w:tcPr>
            <w:tcW w:w="5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24.4</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52.7</w:t>
            </w: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(loss) per common share</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20" w:type="dxa"/>
            <w:vAlign w:val="bottom"/>
          </w:tcPr>
          <w:p>
            <w:pPr>
              <w:ind w:left="20"/>
              <w:spacing w:after="0"/>
              <w:rPr>
                <w:sz w:val="20"/>
                <w:szCs w:val="20"/>
                <w:color w:val="auto"/>
              </w:rPr>
            </w:pPr>
            <w:r>
              <w:rPr>
                <w:rFonts w:ascii="Arial" w:cs="Arial" w:eastAsia="Arial" w:hAnsi="Arial"/>
                <w:sz w:val="17"/>
                <w:szCs w:val="17"/>
                <w:color w:val="auto"/>
              </w:rPr>
              <w:t>Basic weighted average common shares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(loss) per common share</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tcPr>
          <w:p>
            <w:pPr>
              <w:ind w:left="20"/>
              <w:spacing w:after="0" w:line="189" w:lineRule="exact"/>
              <w:rPr>
                <w:sz w:val="20"/>
                <w:szCs w:val="20"/>
                <w:color w:val="auto"/>
              </w:rPr>
            </w:pPr>
            <w:r>
              <w:rPr>
                <w:rFonts w:ascii="Arial" w:cs="Arial" w:eastAsia="Arial" w:hAnsi="Arial"/>
                <w:sz w:val="17"/>
                <w:szCs w:val="17"/>
                <w:color w:val="auto"/>
              </w:rPr>
              <w:t>Diluted weighted average common shares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62.5</w:t>
            </w: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62.8</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20" w:type="dxa"/>
            <w:vAlign w:val="bottom"/>
          </w:tcPr>
          <w:p>
            <w:pPr>
              <w:ind w:left="20"/>
              <w:spacing w:after="0"/>
              <w:rPr>
                <w:sz w:val="20"/>
                <w:szCs w:val="20"/>
                <w:color w:val="auto"/>
              </w:rPr>
            </w:pPr>
            <w:r>
              <w:rPr>
                <w:rFonts w:ascii="Arial" w:cs="Arial" w:eastAsia="Arial" w:hAnsi="Arial"/>
                <w:sz w:val="17"/>
                <w:szCs w:val="17"/>
                <w:color w:val="auto"/>
              </w:rPr>
              <w:t>Net income (loss) including noncontrolling interest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30.5</w:t>
            </w:r>
          </w:p>
        </w:tc>
        <w:tc>
          <w:tcPr>
            <w:tcW w:w="5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24.8</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53.0</w:t>
            </w: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20" w:type="dxa"/>
            <w:vAlign w:val="bottom"/>
          </w:tcPr>
          <w:p>
            <w:pPr>
              <w:ind w:left="140"/>
              <w:spacing w:after="0"/>
              <w:rPr>
                <w:sz w:val="20"/>
                <w:szCs w:val="20"/>
                <w:color w:val="auto"/>
              </w:rPr>
            </w:pPr>
            <w:r>
              <w:rPr>
                <w:rFonts w:ascii="Arial" w:cs="Arial" w:eastAsia="Arial" w:hAnsi="Arial"/>
                <w:sz w:val="17"/>
                <w:szCs w:val="17"/>
                <w:color w:val="auto"/>
              </w:rPr>
              <w:t>Foreign currency translation adjustments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180"/>
        </w:trPr>
        <w:tc>
          <w:tcPr>
            <w:tcW w:w="5420" w:type="dxa"/>
            <w:vAlign w:val="bottom"/>
            <w:shd w:val="clear" w:color="auto" w:fill="CCEEFF"/>
          </w:tcPr>
          <w:p>
            <w:pPr>
              <w:ind w:left="140"/>
              <w:spacing w:after="0" w:line="180" w:lineRule="exact"/>
              <w:rPr>
                <w:sz w:val="20"/>
                <w:szCs w:val="20"/>
                <w:color w:val="auto"/>
              </w:rPr>
            </w:pPr>
            <w:r>
              <w:rPr>
                <w:rFonts w:ascii="Arial" w:cs="Arial" w:eastAsia="Arial" w:hAnsi="Arial"/>
                <w:sz w:val="17"/>
                <w:szCs w:val="17"/>
                <w:color w:val="auto"/>
                <w:w w:val="93"/>
              </w:rPr>
              <w:t>Cash flow hedges, net of income tax expense (benefit) of $0.6 and $9.8 for</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420" w:type="dxa"/>
            <w:vAlign w:val="bottom"/>
            <w:shd w:val="clear" w:color="auto" w:fill="CCEEFF"/>
          </w:tcPr>
          <w:p>
            <w:pPr>
              <w:ind w:left="140"/>
              <w:spacing w:after="0" w:line="167" w:lineRule="exact"/>
              <w:rPr>
                <w:sz w:val="20"/>
                <w:szCs w:val="20"/>
                <w:color w:val="auto"/>
              </w:rPr>
            </w:pPr>
            <w:r>
              <w:rPr>
                <w:rFonts w:ascii="Arial" w:cs="Arial" w:eastAsia="Arial" w:hAnsi="Arial"/>
                <w:sz w:val="17"/>
                <w:szCs w:val="17"/>
                <w:color w:val="auto"/>
                <w:w w:val="95"/>
              </w:rPr>
              <w:t>the three months ended June 30, 2023 and 2022, respectively, and net of</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20" w:type="dxa"/>
            <w:vAlign w:val="bottom"/>
            <w:shd w:val="clear" w:color="auto" w:fill="CCEEFF"/>
          </w:tcPr>
          <w:p>
            <w:pPr>
              <w:ind w:left="140"/>
              <w:spacing w:after="0" w:line="167" w:lineRule="exact"/>
              <w:rPr>
                <w:sz w:val="20"/>
                <w:szCs w:val="20"/>
                <w:color w:val="auto"/>
              </w:rPr>
            </w:pPr>
            <w:r>
              <w:rPr>
                <w:rFonts w:ascii="Arial" w:cs="Arial" w:eastAsia="Arial" w:hAnsi="Arial"/>
                <w:sz w:val="17"/>
                <w:szCs w:val="17"/>
                <w:color w:val="auto"/>
                <w:w w:val="95"/>
              </w:rPr>
              <w:t>income tax expense (benefit) of ($0.2) and $2.8 for the six months ended</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June 30, 2023 and 2022, respectively</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20" w:type="dxa"/>
            <w:vAlign w:val="bottom"/>
          </w:tcPr>
          <w:p>
            <w:pPr>
              <w:ind w:left="220"/>
              <w:spacing w:after="0"/>
              <w:rPr>
                <w:sz w:val="20"/>
                <w:szCs w:val="20"/>
                <w:color w:val="auto"/>
              </w:rPr>
            </w:pPr>
            <w:r>
              <w:rPr>
                <w:rFonts w:ascii="Arial" w:cs="Arial" w:eastAsia="Arial" w:hAnsi="Arial"/>
                <w:sz w:val="17"/>
                <w:szCs w:val="17"/>
                <w:color w:val="auto"/>
              </w:rPr>
              <w:t>Total other comprehensive income (loss)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 (loss) including noncontrolling interest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Comprehensive income (loss) attributable to noncontrolling interest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31"/>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 (loss) attributable to World Kinect</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0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WORLD KINECT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spacing w:after="0"/>
              <w:rPr>
                <w:sz w:val="16"/>
                <w:szCs w:val="16"/>
                <w:color w:val="auto"/>
              </w:rPr>
            </w:pPr>
          </w:p>
        </w:tc>
        <w:tc>
          <w:tcPr>
            <w:tcW w:w="2640" w:type="dxa"/>
            <w:vAlign w:val="bottom"/>
            <w:gridSpan w:val="5"/>
          </w:tcPr>
          <w:p>
            <w:pPr>
              <w:jc w:val="right"/>
              <w:spacing w:after="0"/>
              <w:rPr>
                <w:sz w:val="20"/>
                <w:szCs w:val="20"/>
                <w:color w:val="auto"/>
              </w:rPr>
            </w:pPr>
            <w:r>
              <w:rPr>
                <w:rFonts w:ascii="Arial" w:cs="Arial" w:eastAsia="Arial" w:hAnsi="Arial"/>
                <w:sz w:val="17"/>
                <w:szCs w:val="17"/>
                <w:b w:val="1"/>
                <w:bCs w:val="1"/>
                <w:color w:val="auto"/>
                <w:w w:val="93"/>
              </w:rPr>
              <w:t>For the Three Months Ended June</w:t>
            </w:r>
          </w:p>
        </w:tc>
        <w:tc>
          <w:tcPr>
            <w:tcW w:w="140" w:type="dxa"/>
            <w:vAlign w:val="bottom"/>
          </w:tcPr>
          <w:p>
            <w:pPr>
              <w:spacing w:after="0"/>
              <w:rPr>
                <w:sz w:val="16"/>
                <w:szCs w:val="16"/>
                <w:color w:val="auto"/>
              </w:rPr>
            </w:pPr>
          </w:p>
        </w:tc>
        <w:tc>
          <w:tcPr>
            <w:tcW w:w="2620" w:type="dxa"/>
            <w:vAlign w:val="bottom"/>
            <w:gridSpan w:val="5"/>
            <w:vMerge w:val="restart"/>
          </w:tcPr>
          <w:p>
            <w:pPr>
              <w:ind w:left="20"/>
              <w:spacing w:after="0"/>
              <w:rPr>
                <w:sz w:val="20"/>
                <w:szCs w:val="20"/>
                <w:color w:val="auto"/>
              </w:rPr>
            </w:pPr>
            <w:r>
              <w:rPr>
                <w:rFonts w:ascii="Arial" w:cs="Arial" w:eastAsia="Arial" w:hAnsi="Arial"/>
                <w:sz w:val="17"/>
                <w:szCs w:val="17"/>
                <w:b w:val="1"/>
                <w:bCs w:val="1"/>
                <w:color w:val="auto"/>
                <w:w w:val="91"/>
              </w:rPr>
              <w:t>For the Six Months Ended June 30,</w:t>
            </w:r>
          </w:p>
        </w:tc>
        <w:tc>
          <w:tcPr>
            <w:tcW w:w="0" w:type="dxa"/>
            <w:vAlign w:val="bottom"/>
          </w:tcPr>
          <w:p>
            <w:pPr>
              <w:spacing w:after="0"/>
              <w:rPr>
                <w:sz w:val="1"/>
                <w:szCs w:val="1"/>
                <w:color w:val="auto"/>
              </w:rPr>
            </w:pPr>
          </w:p>
        </w:tc>
      </w:tr>
      <w:tr>
        <w:trPr>
          <w:trHeight w:val="225"/>
        </w:trPr>
        <w:tc>
          <w:tcPr>
            <w:tcW w:w="5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b w:val="1"/>
                <w:bCs w:val="1"/>
                <w:color w:val="auto"/>
              </w:rPr>
              <w:t>30,</w:t>
            </w: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7"/>
                <w:szCs w:val="17"/>
                <w:color w:val="auto"/>
              </w:rPr>
              <w:t>Net income (loss) including noncontrolling interest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30.5</w:t>
            </w: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24.8</w:t>
            </w:r>
          </w:p>
        </w:tc>
        <w:tc>
          <w:tcPr>
            <w:tcW w:w="4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53.0</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174"/>
        </w:trPr>
        <w:tc>
          <w:tcPr>
            <w:tcW w:w="5840" w:type="dxa"/>
            <w:vAlign w:val="bottom"/>
            <w:shd w:val="clear" w:color="auto" w:fill="CCEEFF"/>
          </w:tcPr>
          <w:p>
            <w:pPr>
              <w:ind w:left="140"/>
              <w:spacing w:after="0" w:line="174" w:lineRule="exact"/>
              <w:rPr>
                <w:sz w:val="20"/>
                <w:szCs w:val="20"/>
                <w:color w:val="auto"/>
              </w:rPr>
            </w:pPr>
            <w:r>
              <w:rPr>
                <w:rFonts w:ascii="Arial" w:cs="Arial" w:eastAsia="Arial" w:hAnsi="Arial"/>
                <w:sz w:val="17"/>
                <w:szCs w:val="17"/>
                <w:color w:val="auto"/>
                <w:w w:val="94"/>
              </w:rPr>
              <w:t>Adjustments to reconcile net income including noncontrolling interest to net cash</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provided by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20"/>
              <w:spacing w:after="0"/>
              <w:rPr>
                <w:sz w:val="20"/>
                <w:szCs w:val="20"/>
                <w:color w:val="auto"/>
              </w:rPr>
            </w:pPr>
            <w:r>
              <w:rPr>
                <w:rFonts w:ascii="Arial" w:cs="Arial" w:eastAsia="Arial" w:hAnsi="Arial"/>
                <w:sz w:val="17"/>
                <w:szCs w:val="17"/>
                <w:color w:val="auto"/>
              </w:rPr>
              <w:t>Unrealized (gain) loss on derivatives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(146.1)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17"/>
        </w:trPr>
        <w:tc>
          <w:tcPr>
            <w:tcW w:w="5840" w:type="dxa"/>
            <w:vAlign w:val="bottom"/>
          </w:tcPr>
          <w:p>
            <w:pPr>
              <w:ind w:left="220"/>
              <w:spacing w:after="0"/>
              <w:rPr>
                <w:sz w:val="20"/>
                <w:szCs w:val="20"/>
                <w:color w:val="auto"/>
              </w:rPr>
            </w:pPr>
            <w:r>
              <w:rPr>
                <w:rFonts w:ascii="Arial" w:cs="Arial" w:eastAsia="Arial" w:hAnsi="Arial"/>
                <w:sz w:val="17"/>
                <w:szCs w:val="17"/>
                <w:color w:val="auto"/>
              </w:rPr>
              <w:t>Provision for credit losses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31"/>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payment award compensation costs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7"/>
        </w:trPr>
        <w:tc>
          <w:tcPr>
            <w:tcW w:w="5840" w:type="dxa"/>
            <w:vAlign w:val="bottom"/>
          </w:tcPr>
          <w:p>
            <w:pPr>
              <w:ind w:left="220"/>
              <w:spacing w:after="0"/>
              <w:rPr>
                <w:sz w:val="20"/>
                <w:szCs w:val="20"/>
                <w:color w:val="auto"/>
              </w:rPr>
            </w:pPr>
            <w:r>
              <w:rPr>
                <w:rFonts w:ascii="Arial" w:cs="Arial" w:eastAsia="Arial" w:hAnsi="Arial"/>
                <w:sz w:val="17"/>
                <w:szCs w:val="17"/>
                <w:color w:val="auto"/>
              </w:rPr>
              <w:t>Deferred income tax expense (benefit)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Unrealized foreign currency (gains) losses,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3"/>
        </w:trPr>
        <w:tc>
          <w:tcPr>
            <w:tcW w:w="5840" w:type="dxa"/>
            <w:vAlign w:val="bottom"/>
          </w:tcPr>
          <w:p>
            <w:pPr>
              <w:ind w:left="22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assets and liabilities, net of acquisitions and divestitures: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4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524.6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(487.7)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820.4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(1,539.0)</w:t>
            </w:r>
          </w:p>
        </w:tc>
        <w:tc>
          <w:tcPr>
            <w:tcW w:w="0" w:type="dxa"/>
            <w:vAlign w:val="bottom"/>
          </w:tcPr>
          <w:p>
            <w:pPr>
              <w:spacing w:after="0"/>
              <w:rPr>
                <w:sz w:val="1"/>
                <w:szCs w:val="1"/>
                <w:color w:val="auto"/>
              </w:rPr>
            </w:pPr>
          </w:p>
        </w:tc>
      </w:tr>
      <w:tr>
        <w:trPr>
          <w:trHeight w:val="231"/>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(383.0)</w:t>
            </w:r>
          </w:p>
        </w:tc>
        <w:tc>
          <w:tcPr>
            <w:tcW w:w="0" w:type="dxa"/>
            <w:vAlign w:val="bottom"/>
          </w:tcPr>
          <w:p>
            <w:pPr>
              <w:spacing w:after="0"/>
              <w:rPr>
                <w:sz w:val="1"/>
                <w:szCs w:val="1"/>
                <w:color w:val="auto"/>
              </w:rPr>
            </w:pPr>
          </w:p>
        </w:tc>
      </w:tr>
      <w:tr>
        <w:trPr>
          <w:trHeight w:val="217"/>
        </w:trPr>
        <w:tc>
          <w:tcPr>
            <w:tcW w:w="5840" w:type="dxa"/>
            <w:vAlign w:val="bottom"/>
          </w:tcPr>
          <w:p>
            <w:pPr>
              <w:ind w:left="320"/>
              <w:spacing w:after="0"/>
              <w:rPr>
                <w:sz w:val="20"/>
                <w:szCs w:val="20"/>
                <w:color w:val="auto"/>
              </w:rPr>
            </w:pPr>
            <w:r>
              <w:rPr>
                <w:rFonts w:ascii="Arial" w:cs="Arial" w:eastAsia="Arial" w:hAnsi="Arial"/>
                <w:sz w:val="17"/>
                <w:szCs w:val="17"/>
                <w:color w:val="auto"/>
              </w:rPr>
              <w:t>Prepaid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Short-term derivative assets,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(322.8)</w:t>
            </w:r>
          </w:p>
        </w:tc>
        <w:tc>
          <w:tcPr>
            <w:tcW w:w="0" w:type="dxa"/>
            <w:vAlign w:val="bottom"/>
          </w:tcPr>
          <w:p>
            <w:pPr>
              <w:spacing w:after="0"/>
              <w:rPr>
                <w:sz w:val="1"/>
                <w:szCs w:val="1"/>
                <w:color w:val="auto"/>
              </w:rPr>
            </w:pPr>
          </w:p>
        </w:tc>
      </w:tr>
      <w:tr>
        <w:trPr>
          <w:trHeight w:val="223"/>
        </w:trPr>
        <w:tc>
          <w:tcPr>
            <w:tcW w:w="5840" w:type="dxa"/>
            <w:vAlign w:val="bottom"/>
          </w:tcPr>
          <w:p>
            <w:pPr>
              <w:ind w:left="32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collateral with counterparties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w:t>
            </w:r>
          </w:p>
        </w:tc>
        <w:tc>
          <w:tcPr>
            <w:tcW w:w="0" w:type="dxa"/>
            <w:vAlign w:val="bottom"/>
          </w:tcPr>
          <w:p>
            <w:pPr>
              <w:spacing w:after="0"/>
              <w:rPr>
                <w:sz w:val="1"/>
                <w:szCs w:val="1"/>
                <w:color w:val="auto"/>
              </w:rPr>
            </w:pPr>
          </w:p>
        </w:tc>
      </w:tr>
      <w:tr>
        <w:trPr>
          <w:trHeight w:val="217"/>
        </w:trPr>
        <w:tc>
          <w:tcPr>
            <w:tcW w:w="5840" w:type="dxa"/>
            <w:vAlign w:val="bottom"/>
          </w:tcPr>
          <w:p>
            <w:pPr>
              <w:ind w:left="320"/>
              <w:spacing w:after="0"/>
              <w:rPr>
                <w:sz w:val="20"/>
                <w:szCs w:val="20"/>
                <w:color w:val="auto"/>
              </w:rPr>
            </w:pPr>
            <w:r>
              <w:rPr>
                <w:rFonts w:ascii="Arial" w:cs="Arial" w:eastAsia="Arial" w:hAnsi="Arial"/>
                <w:sz w:val="17"/>
                <w:szCs w:val="17"/>
                <w:color w:val="auto"/>
              </w:rPr>
              <w:t>Other non-current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(163.9)</w:t>
            </w:r>
          </w:p>
        </w:tc>
        <w:tc>
          <w:tcPr>
            <w:tcW w:w="0" w:type="dxa"/>
            <w:vAlign w:val="bottom"/>
          </w:tcPr>
          <w:p>
            <w:pPr>
              <w:spacing w:after="0"/>
              <w:rPr>
                <w:sz w:val="1"/>
                <w:szCs w:val="1"/>
                <w:color w:val="auto"/>
              </w:rPr>
            </w:pPr>
          </w:p>
        </w:tc>
      </w:tr>
      <w:tr>
        <w:trPr>
          <w:trHeight w:val="231"/>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(845.8)</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1,503.5</w:t>
            </w:r>
          </w:p>
        </w:tc>
        <w:tc>
          <w:tcPr>
            <w:tcW w:w="0" w:type="dxa"/>
            <w:vAlign w:val="bottom"/>
          </w:tcPr>
          <w:p>
            <w:pPr>
              <w:spacing w:after="0"/>
              <w:rPr>
                <w:sz w:val="1"/>
                <w:szCs w:val="1"/>
                <w:color w:val="auto"/>
              </w:rPr>
            </w:pPr>
          </w:p>
        </w:tc>
      </w:tr>
      <w:tr>
        <w:trPr>
          <w:trHeight w:val="217"/>
        </w:trPr>
        <w:tc>
          <w:tcPr>
            <w:tcW w:w="5840" w:type="dxa"/>
            <w:vAlign w:val="bottom"/>
          </w:tcPr>
          <w:p>
            <w:pPr>
              <w:ind w:left="320"/>
              <w:spacing w:after="0"/>
              <w:rPr>
                <w:sz w:val="20"/>
                <w:szCs w:val="20"/>
                <w:color w:val="auto"/>
              </w:rPr>
            </w:pPr>
            <w:r>
              <w:rPr>
                <w:rFonts w:ascii="Arial" w:cs="Arial" w:eastAsia="Arial" w:hAnsi="Arial"/>
                <w:sz w:val="17"/>
                <w:szCs w:val="17"/>
                <w:color w:val="auto"/>
              </w:rPr>
              <w:t>Short-term derivative liabilities,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(83.8)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(248.7)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311.6</w:t>
            </w: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7"/>
        </w:trPr>
        <w:tc>
          <w:tcPr>
            <w:tcW w:w="5840" w:type="dxa"/>
            <w:vAlign w:val="bottom"/>
          </w:tcPr>
          <w:p>
            <w:pPr>
              <w:ind w:left="320"/>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232.6</w:t>
            </w:r>
          </w:p>
        </w:tc>
        <w:tc>
          <w:tcPr>
            <w:tcW w:w="0" w:type="dxa"/>
            <w:vAlign w:val="bottom"/>
          </w:tcPr>
          <w:p>
            <w:pPr>
              <w:spacing w:after="0"/>
              <w:rPr>
                <w:sz w:val="1"/>
                <w:szCs w:val="1"/>
                <w:color w:val="auto"/>
              </w:rPr>
            </w:pPr>
          </w:p>
        </w:tc>
      </w:tr>
      <w:tr>
        <w:trPr>
          <w:trHeight w:val="211"/>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provided by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186.5</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business, net of cash acquired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(639.4)</w:t>
            </w:r>
          </w:p>
        </w:tc>
        <w:tc>
          <w:tcPr>
            <w:tcW w:w="0" w:type="dxa"/>
            <w:vAlign w:val="bottom"/>
          </w:tcPr>
          <w:p>
            <w:pPr>
              <w:spacing w:after="0"/>
              <w:rPr>
                <w:sz w:val="1"/>
                <w:szCs w:val="1"/>
                <w:color w:val="auto"/>
              </w:rPr>
            </w:pPr>
          </w:p>
        </w:tc>
      </w:tr>
      <w:tr>
        <w:trPr>
          <w:trHeight w:val="217"/>
        </w:trPr>
        <w:tc>
          <w:tcPr>
            <w:tcW w:w="5840" w:type="dxa"/>
            <w:vAlign w:val="bottom"/>
          </w:tcPr>
          <w:p>
            <w:pPr>
              <w:ind w:left="140"/>
              <w:spacing w:after="0"/>
              <w:rPr>
                <w:sz w:val="20"/>
                <w:szCs w:val="20"/>
                <w:color w:val="auto"/>
              </w:rPr>
            </w:pPr>
            <w:r>
              <w:rPr>
                <w:rFonts w:ascii="Arial" w:cs="Arial" w:eastAsia="Arial" w:hAnsi="Arial"/>
                <w:sz w:val="17"/>
                <w:szCs w:val="17"/>
                <w:color w:val="auto"/>
              </w:rPr>
              <w:t>Capital expenditures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231"/>
        </w:trPr>
        <w:tc>
          <w:tcPr>
            <w:tcW w:w="5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investing activities, net</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0"/>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(678.5)</w:t>
            </w: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7"/>
                <w:szCs w:val="17"/>
                <w:color w:val="auto"/>
              </w:rPr>
              <w:t>Borrowings of debt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1,120.3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2,027.1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3,221.3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3,772.9</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of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(3,244.9)</w:t>
            </w:r>
          </w:p>
        </w:tc>
        <w:tc>
          <w:tcPr>
            <w:tcW w:w="0" w:type="dxa"/>
            <w:vAlign w:val="bottom"/>
          </w:tcPr>
          <w:p>
            <w:pPr>
              <w:spacing w:after="0"/>
              <w:rPr>
                <w:sz w:val="1"/>
                <w:szCs w:val="1"/>
                <w:color w:val="auto"/>
              </w:rPr>
            </w:pPr>
          </w:p>
        </w:tc>
      </w:tr>
      <w:tr>
        <w:trPr>
          <w:trHeight w:val="217"/>
        </w:trPr>
        <w:tc>
          <w:tcPr>
            <w:tcW w:w="5840" w:type="dxa"/>
            <w:vAlign w:val="bottom"/>
          </w:tcPr>
          <w:p>
            <w:pPr>
              <w:ind w:left="140"/>
              <w:spacing w:after="0"/>
              <w:rPr>
                <w:sz w:val="20"/>
                <w:szCs w:val="20"/>
                <w:color w:val="auto"/>
              </w:rPr>
            </w:pPr>
            <w:r>
              <w:rPr>
                <w:rFonts w:ascii="Arial" w:cs="Arial" w:eastAsia="Arial" w:hAnsi="Arial"/>
                <w:sz w:val="17"/>
                <w:szCs w:val="17"/>
                <w:color w:val="auto"/>
              </w:rPr>
              <w:t>Issuance of Convertible Notes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5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paid on common stock</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7"/>
        </w:trPr>
        <w:tc>
          <w:tcPr>
            <w:tcW w:w="5840" w:type="dxa"/>
            <w:vAlign w:val="bottom"/>
          </w:tcPr>
          <w:p>
            <w:pPr>
              <w:ind w:left="140"/>
              <w:spacing w:after="0"/>
              <w:rPr>
                <w:sz w:val="20"/>
                <w:szCs w:val="20"/>
                <w:color w:val="auto"/>
              </w:rPr>
            </w:pPr>
            <w:r>
              <w:rPr>
                <w:rFonts w:ascii="Arial" w:cs="Arial" w:eastAsia="Arial" w:hAnsi="Arial"/>
                <w:sz w:val="17"/>
                <w:szCs w:val="17"/>
                <w:color w:val="auto"/>
              </w:rPr>
              <w:t>Repurchases of common stock</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convertible note hedges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7"/>
                <w:szCs w:val="17"/>
                <w:color w:val="auto"/>
              </w:rPr>
              <w:t>Sale of warrants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deferred consideration for acquisitions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7"/>
        </w:trPr>
        <w:tc>
          <w:tcPr>
            <w:tcW w:w="5840" w:type="dxa"/>
            <w:vAlign w:val="bottom"/>
          </w:tcPr>
          <w:p>
            <w:pPr>
              <w:ind w:left="140"/>
              <w:spacing w:after="0"/>
              <w:rPr>
                <w:sz w:val="20"/>
                <w:szCs w:val="20"/>
                <w:color w:val="auto"/>
              </w:rPr>
            </w:pPr>
            <w:r>
              <w:rPr>
                <w:rFonts w:ascii="Arial" w:cs="Arial" w:eastAsia="Arial" w:hAnsi="Arial"/>
                <w:sz w:val="17"/>
                <w:szCs w:val="17"/>
                <w:color w:val="auto"/>
              </w:rPr>
              <w:t>Other financing activities,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451.0</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as of the beginning of the period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652.2</w:t>
            </w:r>
          </w:p>
        </w:tc>
        <w:tc>
          <w:tcPr>
            <w:tcW w:w="0" w:type="dxa"/>
            <w:vAlign w:val="bottom"/>
          </w:tcPr>
          <w:p>
            <w:pPr>
              <w:spacing w:after="0"/>
              <w:rPr>
                <w:sz w:val="1"/>
                <w:szCs w:val="1"/>
                <w:color w:val="auto"/>
              </w:rPr>
            </w:pPr>
          </w:p>
        </w:tc>
      </w:tr>
      <w:tr>
        <w:trPr>
          <w:trHeight w:val="231"/>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as of the end of the period</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09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WORLD KINECT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 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11"/>
          </w:tcPr>
          <w:p>
            <w:pPr>
              <w:jc w:val="right"/>
              <w:ind w:right="555"/>
              <w:spacing w:after="0"/>
              <w:rPr>
                <w:sz w:val="20"/>
                <w:szCs w:val="20"/>
                <w:color w:val="auto"/>
              </w:rPr>
            </w:pPr>
            <w:r>
              <w:rPr>
                <w:rFonts w:ascii="Arial" w:cs="Arial" w:eastAsia="Arial" w:hAnsi="Arial"/>
                <w:sz w:val="17"/>
                <w:szCs w:val="17"/>
                <w:b w:val="1"/>
                <w:bCs w:val="1"/>
                <w:color w:val="auto"/>
                <w:w w:val="98"/>
              </w:rPr>
              <w:t>For the Three Months Ended June 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14"/>
          </w:tcPr>
          <w:p>
            <w:pPr>
              <w:jc w:val="right"/>
              <w:ind w:right="655"/>
              <w:spacing w:after="0"/>
              <w:rPr>
                <w:sz w:val="20"/>
                <w:szCs w:val="20"/>
                <w:color w:val="auto"/>
              </w:rPr>
            </w:pPr>
            <w:r>
              <w:rPr>
                <w:rFonts w:ascii="Arial" w:cs="Arial" w:eastAsia="Arial" w:hAnsi="Arial"/>
                <w:sz w:val="17"/>
                <w:szCs w:val="17"/>
                <w:b w:val="1"/>
                <w:bCs w:val="1"/>
                <w:color w:val="auto"/>
              </w:rPr>
              <w:t>For the Six Months Ended June 30,</w:t>
            </w:r>
          </w:p>
        </w:tc>
        <w:tc>
          <w:tcPr>
            <w:tcW w:w="0" w:type="dxa"/>
            <w:vAlign w:val="bottom"/>
          </w:tcPr>
          <w:p>
            <w:pPr>
              <w:spacing w:after="0"/>
              <w:rPr>
                <w:sz w:val="1"/>
                <w:szCs w:val="1"/>
                <w:color w:val="auto"/>
              </w:rPr>
            </w:pPr>
          </w:p>
        </w:tc>
      </w:tr>
      <w:tr>
        <w:trPr>
          <w:trHeight w:val="218"/>
        </w:trPr>
        <w:tc>
          <w:tcPr>
            <w:tcW w:w="30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2023</w:t>
            </w: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4"/>
          </w:tcPr>
          <w:p>
            <w:pPr>
              <w:ind w:left="480"/>
              <w:spacing w:after="0"/>
              <w:rPr>
                <w:sz w:val="20"/>
                <w:szCs w:val="20"/>
                <w:color w:val="auto"/>
              </w:rPr>
            </w:pPr>
            <w:r>
              <w:rPr>
                <w:rFonts w:ascii="Arial" w:cs="Arial" w:eastAsia="Arial" w:hAnsi="Arial"/>
                <w:sz w:val="17"/>
                <w:szCs w:val="17"/>
                <w:b w:val="1"/>
                <w:bCs w:val="1"/>
                <w:color w:val="auto"/>
                <w:w w:val="95"/>
              </w:rPr>
              <w:t>2022</w:t>
            </w:r>
          </w:p>
        </w:tc>
        <w:tc>
          <w:tcPr>
            <w:tcW w:w="7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2022</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000" w:type="dxa"/>
            <w:vAlign w:val="bottom"/>
          </w:tcPr>
          <w:p>
            <w:pPr>
              <w:ind w:left="20"/>
              <w:spacing w:after="0" w:line="177" w:lineRule="exact"/>
              <w:rPr>
                <w:sz w:val="20"/>
                <w:szCs w:val="20"/>
                <w:color w:val="auto"/>
              </w:rPr>
            </w:pPr>
            <w:r>
              <w:rPr>
                <w:rFonts w:ascii="Arial" w:cs="Arial" w:eastAsia="Arial" w:hAnsi="Arial"/>
                <w:sz w:val="17"/>
                <w:szCs w:val="17"/>
                <w:b w:val="1"/>
                <w:bCs w:val="1"/>
                <w:color w:val="auto"/>
                <w:w w:val="97"/>
              </w:rPr>
              <w:t>Reconciliation of GAAP to Non-GAAP</w:t>
            </w:r>
          </w:p>
        </w:tc>
        <w:tc>
          <w:tcPr>
            <w:tcW w:w="900" w:type="dxa"/>
            <w:vAlign w:val="bottom"/>
            <w:gridSpan w:val="2"/>
            <w:vMerge w:val="restart"/>
          </w:tcPr>
          <w:p>
            <w:pPr>
              <w:jc w:val="right"/>
              <w:spacing w:after="0"/>
              <w:rPr>
                <w:sz w:val="20"/>
                <w:szCs w:val="20"/>
                <w:color w:val="auto"/>
              </w:rPr>
            </w:pPr>
            <w:r>
              <w:rPr>
                <w:rFonts w:ascii="Arial" w:cs="Arial" w:eastAsia="Arial" w:hAnsi="Arial"/>
                <w:sz w:val="17"/>
                <w:szCs w:val="17"/>
                <w:color w:val="auto"/>
                <w:w w:val="96"/>
              </w:rPr>
              <w:t>Net Income</w:t>
            </w:r>
          </w:p>
        </w:tc>
        <w:tc>
          <w:tcPr>
            <w:tcW w:w="140" w:type="dxa"/>
            <w:vAlign w:val="bottom"/>
          </w:tcPr>
          <w:p>
            <w:pPr>
              <w:spacing w:after="0"/>
              <w:rPr>
                <w:sz w:val="15"/>
                <w:szCs w:val="15"/>
                <w:color w:val="auto"/>
              </w:rPr>
            </w:pPr>
          </w:p>
        </w:tc>
        <w:tc>
          <w:tcPr>
            <w:tcW w:w="920" w:type="dxa"/>
            <w:vAlign w:val="bottom"/>
            <w:gridSpan w:val="2"/>
          </w:tcPr>
          <w:p>
            <w:pPr>
              <w:jc w:val="right"/>
              <w:spacing w:after="0" w:line="177" w:lineRule="exact"/>
              <w:rPr>
                <w:sz w:val="20"/>
                <w:szCs w:val="20"/>
                <w:color w:val="auto"/>
              </w:rPr>
            </w:pPr>
            <w:r>
              <w:rPr>
                <w:rFonts w:ascii="Arial" w:cs="Arial" w:eastAsia="Arial" w:hAnsi="Arial"/>
                <w:sz w:val="17"/>
                <w:szCs w:val="17"/>
                <w:color w:val="auto"/>
                <w:w w:val="91"/>
              </w:rPr>
              <w:t>Earnings per</w:t>
            </w:r>
          </w:p>
        </w:tc>
        <w:tc>
          <w:tcPr>
            <w:tcW w:w="140" w:type="dxa"/>
            <w:vAlign w:val="bottom"/>
          </w:tcPr>
          <w:p>
            <w:pPr>
              <w:spacing w:after="0"/>
              <w:rPr>
                <w:sz w:val="15"/>
                <w:szCs w:val="15"/>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7"/>
                <w:szCs w:val="17"/>
                <w:color w:val="auto"/>
                <w:w w:val="94"/>
              </w:rPr>
              <w:t>Net Income</w:t>
            </w:r>
          </w:p>
        </w:tc>
        <w:tc>
          <w:tcPr>
            <w:tcW w:w="120" w:type="dxa"/>
            <w:vAlign w:val="bottom"/>
          </w:tcPr>
          <w:p>
            <w:pPr>
              <w:spacing w:after="0"/>
              <w:rPr>
                <w:sz w:val="15"/>
                <w:szCs w:val="15"/>
                <w:color w:val="auto"/>
              </w:rPr>
            </w:pPr>
          </w:p>
        </w:tc>
        <w:tc>
          <w:tcPr>
            <w:tcW w:w="940" w:type="dxa"/>
            <w:vAlign w:val="bottom"/>
            <w:gridSpan w:val="2"/>
          </w:tcPr>
          <w:p>
            <w:pPr>
              <w:ind w:left="40"/>
              <w:spacing w:after="0" w:line="177" w:lineRule="exact"/>
              <w:rPr>
                <w:sz w:val="20"/>
                <w:szCs w:val="20"/>
                <w:color w:val="auto"/>
              </w:rPr>
            </w:pPr>
            <w:r>
              <w:rPr>
                <w:rFonts w:ascii="Arial" w:cs="Arial" w:eastAsia="Arial" w:hAnsi="Arial"/>
                <w:sz w:val="17"/>
                <w:szCs w:val="17"/>
                <w:color w:val="auto"/>
                <w:w w:val="91"/>
              </w:rPr>
              <w:t>Earnings per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7"/>
                <w:szCs w:val="17"/>
                <w:color w:val="auto"/>
                <w:w w:val="96"/>
              </w:rPr>
              <w:t>Net Income</w:t>
            </w:r>
          </w:p>
        </w:tc>
        <w:tc>
          <w:tcPr>
            <w:tcW w:w="120" w:type="dxa"/>
            <w:vAlign w:val="bottom"/>
          </w:tcPr>
          <w:p>
            <w:pPr>
              <w:spacing w:after="0"/>
              <w:rPr>
                <w:sz w:val="15"/>
                <w:szCs w:val="15"/>
                <w:color w:val="auto"/>
              </w:rPr>
            </w:pPr>
          </w:p>
        </w:tc>
        <w:tc>
          <w:tcPr>
            <w:tcW w:w="920" w:type="dxa"/>
            <w:vAlign w:val="bottom"/>
            <w:gridSpan w:val="3"/>
          </w:tcPr>
          <w:p>
            <w:pPr>
              <w:jc w:val="right"/>
              <w:spacing w:after="0" w:line="177" w:lineRule="exact"/>
              <w:rPr>
                <w:sz w:val="20"/>
                <w:szCs w:val="20"/>
                <w:color w:val="auto"/>
              </w:rPr>
            </w:pPr>
            <w:r>
              <w:rPr>
                <w:rFonts w:ascii="Arial" w:cs="Arial" w:eastAsia="Arial" w:hAnsi="Arial"/>
                <w:sz w:val="17"/>
                <w:szCs w:val="17"/>
                <w:color w:val="auto"/>
                <w:w w:val="91"/>
              </w:rPr>
              <w:t>Earnings per</w:t>
            </w:r>
          </w:p>
        </w:tc>
        <w:tc>
          <w:tcPr>
            <w:tcW w:w="140" w:type="dxa"/>
            <w:vAlign w:val="bottom"/>
          </w:tcPr>
          <w:p>
            <w:pPr>
              <w:spacing w:after="0"/>
              <w:rPr>
                <w:sz w:val="15"/>
                <w:szCs w:val="15"/>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7"/>
                <w:szCs w:val="17"/>
                <w:color w:val="auto"/>
                <w:w w:val="96"/>
              </w:rPr>
              <w:t>Net Income</w:t>
            </w:r>
          </w:p>
        </w:tc>
        <w:tc>
          <w:tcPr>
            <w:tcW w:w="140" w:type="dxa"/>
            <w:vAlign w:val="bottom"/>
          </w:tcPr>
          <w:p>
            <w:pPr>
              <w:spacing w:after="0"/>
              <w:rPr>
                <w:sz w:val="15"/>
                <w:szCs w:val="15"/>
                <w:color w:val="auto"/>
              </w:rPr>
            </w:pPr>
          </w:p>
        </w:tc>
        <w:tc>
          <w:tcPr>
            <w:tcW w:w="920" w:type="dxa"/>
            <w:vAlign w:val="bottom"/>
            <w:gridSpan w:val="2"/>
          </w:tcPr>
          <w:p>
            <w:pPr>
              <w:jc w:val="right"/>
              <w:spacing w:after="0" w:line="177" w:lineRule="exact"/>
              <w:rPr>
                <w:sz w:val="20"/>
                <w:szCs w:val="20"/>
                <w:color w:val="auto"/>
              </w:rPr>
            </w:pPr>
            <w:r>
              <w:rPr>
                <w:rFonts w:ascii="Arial" w:cs="Arial" w:eastAsia="Arial" w:hAnsi="Arial"/>
                <w:sz w:val="17"/>
                <w:szCs w:val="17"/>
                <w:color w:val="auto"/>
                <w:w w:val="91"/>
              </w:rPr>
              <w:t>Earnings per</w:t>
            </w:r>
          </w:p>
        </w:tc>
        <w:tc>
          <w:tcPr>
            <w:tcW w:w="0" w:type="dxa"/>
            <w:vAlign w:val="bottom"/>
          </w:tcPr>
          <w:p>
            <w:pPr>
              <w:spacing w:after="0"/>
              <w:rPr>
                <w:sz w:val="1"/>
                <w:szCs w:val="1"/>
                <w:color w:val="auto"/>
              </w:rPr>
            </w:pPr>
          </w:p>
        </w:tc>
      </w:tr>
      <w:tr>
        <w:trPr>
          <w:trHeight w:val="217"/>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financial measures:</w:t>
            </w:r>
          </w:p>
        </w:tc>
        <w:tc>
          <w:tcPr>
            <w:tcW w:w="9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3"/>
              </w:rPr>
              <w:t>Share</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Share</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7"/>
                <w:szCs w:val="17"/>
                <w:color w:val="auto"/>
                <w:w w:val="83"/>
              </w:rPr>
              <w:t>Share</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5"/>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Share</w:t>
            </w:r>
          </w:p>
        </w:tc>
        <w:tc>
          <w:tcPr>
            <w:tcW w:w="0" w:type="dxa"/>
            <w:vAlign w:val="bottom"/>
          </w:tcPr>
          <w:p>
            <w:pPr>
              <w:spacing w:after="0"/>
              <w:rPr>
                <w:sz w:val="1"/>
                <w:szCs w:val="1"/>
                <w:color w:val="auto"/>
              </w:rPr>
            </w:pPr>
          </w:p>
        </w:tc>
      </w:tr>
      <w:tr>
        <w:trPr>
          <w:trHeight w:val="155"/>
        </w:trPr>
        <w:tc>
          <w:tcPr>
            <w:tcW w:w="30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Net income and Diluted earnings per</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common share</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29.9</w:t>
            </w:r>
          </w:p>
        </w:tc>
        <w:tc>
          <w:tcPr>
            <w:tcW w:w="4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0.48</w:t>
            </w:r>
          </w:p>
        </w:tc>
        <w:tc>
          <w:tcPr>
            <w:tcW w:w="46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24.4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0.39</w:t>
            </w:r>
          </w:p>
        </w:tc>
        <w:tc>
          <w:tcPr>
            <w:tcW w:w="460" w:type="dxa"/>
            <w:vAlign w:val="bottom"/>
            <w:gridSpan w:val="4"/>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52.7</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0.84</w:t>
            </w:r>
          </w:p>
        </w:tc>
        <w:tc>
          <w:tcPr>
            <w:tcW w:w="660" w:type="dxa"/>
            <w:vAlign w:val="bottom"/>
            <w:gridSpan w:val="2"/>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50.7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0.80</w:t>
            </w:r>
          </w:p>
        </w:tc>
        <w:tc>
          <w:tcPr>
            <w:tcW w:w="0" w:type="dxa"/>
            <w:vAlign w:val="bottom"/>
          </w:tcPr>
          <w:p>
            <w:pPr>
              <w:spacing w:after="0"/>
              <w:rPr>
                <w:sz w:val="1"/>
                <w:szCs w:val="1"/>
                <w:color w:val="auto"/>
              </w:rPr>
            </w:pPr>
          </w:p>
        </w:tc>
      </w:tr>
      <w:tr>
        <w:trPr>
          <w:trHeight w:val="167"/>
        </w:trPr>
        <w:tc>
          <w:tcPr>
            <w:tcW w:w="3000" w:type="dxa"/>
            <w:vAlign w:val="bottom"/>
          </w:tcPr>
          <w:p>
            <w:pPr>
              <w:ind w:left="120"/>
              <w:spacing w:after="0" w:line="167" w:lineRule="exact"/>
              <w:rPr>
                <w:sz w:val="20"/>
                <w:szCs w:val="20"/>
                <w:color w:val="auto"/>
              </w:rPr>
            </w:pPr>
            <w:r>
              <w:rPr>
                <w:rFonts w:ascii="Arial" w:cs="Arial" w:eastAsia="Arial" w:hAnsi="Arial"/>
                <w:sz w:val="17"/>
                <w:szCs w:val="17"/>
                <w:color w:val="auto"/>
              </w:rPr>
              <w:t>Acquisition and divestiture related</w:t>
            </w:r>
          </w:p>
        </w:tc>
        <w:tc>
          <w:tcPr>
            <w:tcW w:w="4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0.01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color w:val="auto"/>
              </w:rPr>
              <w:t>0.01</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gridSpan w:val="4"/>
            <w:vMerge w:val="restart"/>
          </w:tcPr>
          <w:p>
            <w:pPr>
              <w:jc w:val="right"/>
              <w:spacing w:after="0"/>
              <w:rPr>
                <w:sz w:val="20"/>
                <w:szCs w:val="20"/>
                <w:color w:val="auto"/>
              </w:rPr>
            </w:pPr>
            <w:r>
              <w:rPr>
                <w:rFonts w:ascii="Arial" w:cs="Arial" w:eastAsia="Arial" w:hAnsi="Arial"/>
                <w:sz w:val="17"/>
                <w:szCs w:val="17"/>
                <w:color w:val="auto"/>
              </w:rPr>
              <w:t>0.6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23"/>
        </w:trPr>
        <w:tc>
          <w:tcPr>
            <w:tcW w:w="3000" w:type="dxa"/>
            <w:vAlign w:val="bottom"/>
          </w:tcPr>
          <w:p>
            <w:pPr>
              <w:ind w:left="120"/>
              <w:spacing w:after="0"/>
              <w:rPr>
                <w:sz w:val="20"/>
                <w:szCs w:val="20"/>
                <w:color w:val="auto"/>
              </w:rPr>
            </w:pPr>
            <w:r>
              <w:rPr>
                <w:rFonts w:ascii="Arial" w:cs="Arial" w:eastAsia="Arial" w:hAnsi="Arial"/>
                <w:sz w:val="17"/>
                <w:szCs w:val="17"/>
                <w:color w:val="auto"/>
              </w:rPr>
              <w:t>expenses</w:t>
            </w:r>
          </w:p>
        </w:tc>
        <w:tc>
          <w:tcPr>
            <w:tcW w:w="4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gridSpan w:val="4"/>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(gain) on sale of business</w:t>
            </w: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000" w:type="dxa"/>
            <w:vAlign w:val="bottom"/>
          </w:tcPr>
          <w:p>
            <w:pPr>
              <w:ind w:left="120"/>
              <w:spacing w:after="0"/>
              <w:rPr>
                <w:sz w:val="20"/>
                <w:szCs w:val="20"/>
                <w:color w:val="auto"/>
              </w:rPr>
            </w:pPr>
            <w:r>
              <w:rPr>
                <w:rFonts w:ascii="Arial" w:cs="Arial" w:eastAsia="Arial" w:hAnsi="Arial"/>
                <w:sz w:val="17"/>
                <w:szCs w:val="17"/>
                <w:color w:val="auto"/>
              </w:rPr>
              <w:t>Asset impairments</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0.01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3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Integration costs</w:t>
            </w:r>
          </w:p>
        </w:tc>
        <w:tc>
          <w:tcPr>
            <w:tcW w:w="4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17"/>
        </w:trPr>
        <w:tc>
          <w:tcPr>
            <w:tcW w:w="3000" w:type="dxa"/>
            <w:vAlign w:val="bottom"/>
          </w:tcPr>
          <w:p>
            <w:pPr>
              <w:ind w:left="120"/>
              <w:spacing w:after="0"/>
              <w:rPr>
                <w:sz w:val="20"/>
                <w:szCs w:val="20"/>
                <w:color w:val="auto"/>
              </w:rPr>
            </w:pPr>
            <w:r>
              <w:rPr>
                <w:rFonts w:ascii="Arial" w:cs="Arial" w:eastAsia="Arial" w:hAnsi="Arial"/>
                <w:sz w:val="17"/>
                <w:szCs w:val="17"/>
                <w:color w:val="auto"/>
              </w:rPr>
              <w:t>Loss on debt extinguishment</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Arial" w:cs="Arial" w:eastAsia="Arial" w:hAnsi="Arial"/>
                <w:sz w:val="17"/>
                <w:szCs w:val="17"/>
                <w:color w:val="auto"/>
              </w:rPr>
              <w:t>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7"/>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Income tax impacts</w:t>
            </w:r>
          </w:p>
        </w:tc>
        <w:tc>
          <w:tcPr>
            <w:tcW w:w="4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7"/>
              </w:rPr>
              <w:t>(0.7)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line="160" w:lineRule="exact"/>
              <w:rPr>
                <w:sz w:val="20"/>
                <w:szCs w:val="20"/>
                <w:color w:val="auto"/>
              </w:rPr>
            </w:pPr>
            <w:r>
              <w:rPr>
                <w:rFonts w:ascii="Arial" w:cs="Arial" w:eastAsia="Arial" w:hAnsi="Arial"/>
                <w:sz w:val="17"/>
                <w:szCs w:val="17"/>
                <w:b w:val="1"/>
                <w:bCs w:val="1"/>
                <w:color w:val="auto"/>
              </w:rPr>
              <w:t>Adjusted net income and Adjusted</w:t>
            </w:r>
          </w:p>
        </w:tc>
        <w:tc>
          <w:tcPr>
            <w:tcW w:w="40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30.1</w:t>
            </w:r>
          </w:p>
        </w:tc>
        <w:tc>
          <w:tcPr>
            <w:tcW w:w="140" w:type="dxa"/>
            <w:vAlign w:val="bottom"/>
            <w:vMerge w:val="restart"/>
          </w:tcPr>
          <w:p>
            <w:pPr>
              <w:spacing w:after="0"/>
              <w:rPr>
                <w:sz w:val="13"/>
                <w:szCs w:val="13"/>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6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0.48</w:t>
            </w:r>
          </w:p>
        </w:tc>
        <w:tc>
          <w:tcPr>
            <w:tcW w:w="140" w:type="dxa"/>
            <w:vAlign w:val="bottom"/>
            <w:vMerge w:val="restart"/>
          </w:tcPr>
          <w:p>
            <w:pPr>
              <w:spacing w:after="0"/>
              <w:rPr>
                <w:sz w:val="13"/>
                <w:szCs w:val="13"/>
                <w:color w:val="auto"/>
              </w:rPr>
            </w:pPr>
          </w:p>
        </w:tc>
        <w:tc>
          <w:tcPr>
            <w:tcW w:w="32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58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25.8</w:t>
            </w:r>
          </w:p>
        </w:tc>
        <w:tc>
          <w:tcPr>
            <w:tcW w:w="120" w:type="dxa"/>
            <w:vAlign w:val="bottom"/>
            <w:vMerge w:val="restart"/>
          </w:tcPr>
          <w:p>
            <w:pPr>
              <w:spacing w:after="0"/>
              <w:rPr>
                <w:sz w:val="13"/>
                <w:szCs w:val="13"/>
                <w:color w:val="auto"/>
              </w:rPr>
            </w:pPr>
          </w:p>
        </w:tc>
        <w:tc>
          <w:tcPr>
            <w:tcW w:w="1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0.41</w:t>
            </w:r>
          </w:p>
        </w:tc>
        <w:tc>
          <w:tcPr>
            <w:tcW w:w="140" w:type="dxa"/>
            <w:vAlign w:val="bottom"/>
            <w:gridSpan w:val="2"/>
            <w:vMerge w:val="restart"/>
          </w:tcPr>
          <w:p>
            <w:pPr>
              <w:spacing w:after="0"/>
              <w:rPr>
                <w:sz w:val="13"/>
                <w:szCs w:val="13"/>
                <w:color w:val="auto"/>
              </w:rPr>
            </w:pPr>
          </w:p>
        </w:tc>
        <w:tc>
          <w:tcPr>
            <w:tcW w:w="320" w:type="dxa"/>
            <w:vAlign w:val="bottom"/>
            <w:gridSpan w:val="2"/>
            <w:vMerge w:val="restart"/>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52.9</w:t>
            </w:r>
          </w:p>
        </w:tc>
        <w:tc>
          <w:tcPr>
            <w:tcW w:w="120" w:type="dxa"/>
            <w:vAlign w:val="bottom"/>
            <w:vMerge w:val="restart"/>
          </w:tcPr>
          <w:p>
            <w:pPr>
              <w:spacing w:after="0"/>
              <w:rPr>
                <w:sz w:val="13"/>
                <w:szCs w:val="13"/>
                <w:color w:val="auto"/>
              </w:rPr>
            </w:pPr>
          </w:p>
        </w:tc>
        <w:tc>
          <w:tcPr>
            <w:tcW w:w="260" w:type="dxa"/>
            <w:vAlign w:val="bottom"/>
            <w:vMerge w:val="restart"/>
          </w:tcPr>
          <w:p>
            <w:pPr>
              <w:jc w:val="center"/>
              <w:ind w:right="55"/>
              <w:spacing w:after="0"/>
              <w:rPr>
                <w:sz w:val="20"/>
                <w:szCs w:val="20"/>
                <w:color w:val="auto"/>
              </w:rPr>
            </w:pPr>
            <w:r>
              <w:rPr>
                <w:rFonts w:ascii="Arial" w:cs="Arial" w:eastAsia="Arial" w:hAnsi="Arial"/>
                <w:sz w:val="17"/>
                <w:szCs w:val="17"/>
                <w:b w:val="1"/>
                <w:bCs w:val="1"/>
                <w:color w:val="auto"/>
                <w:w w:val="84"/>
              </w:rPr>
              <w:t>$</w:t>
            </w: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0.84</w:t>
            </w:r>
          </w:p>
        </w:tc>
        <w:tc>
          <w:tcPr>
            <w:tcW w:w="140" w:type="dxa"/>
            <w:vAlign w:val="bottom"/>
            <w:vMerge w:val="restart"/>
          </w:tcPr>
          <w:p>
            <w:pPr>
              <w:spacing w:after="0"/>
              <w:rPr>
                <w:sz w:val="13"/>
                <w:szCs w:val="13"/>
                <w:color w:val="auto"/>
              </w:rPr>
            </w:pPr>
          </w:p>
        </w:tc>
        <w:tc>
          <w:tcPr>
            <w:tcW w:w="52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w w:val="84"/>
              </w:rPr>
              <w:t>$</w:t>
            </w:r>
          </w:p>
        </w:tc>
        <w:tc>
          <w:tcPr>
            <w:tcW w:w="38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w w:val="90"/>
              </w:rPr>
              <w:t>52.6</w:t>
            </w:r>
          </w:p>
        </w:tc>
        <w:tc>
          <w:tcPr>
            <w:tcW w:w="14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0.83</w:t>
            </w:r>
          </w:p>
        </w:tc>
        <w:tc>
          <w:tcPr>
            <w:tcW w:w="0" w:type="dxa"/>
            <w:vAlign w:val="bottom"/>
          </w:tcPr>
          <w:p>
            <w:pPr>
              <w:spacing w:after="0"/>
              <w:rPr>
                <w:sz w:val="1"/>
                <w:szCs w:val="1"/>
                <w:color w:val="auto"/>
              </w:rPr>
            </w:pPr>
          </w:p>
        </w:tc>
      </w:tr>
      <w:tr>
        <w:trPr>
          <w:trHeight w:val="197"/>
        </w:trPr>
        <w:tc>
          <w:tcPr>
            <w:tcW w:w="3000" w:type="dxa"/>
            <w:vAlign w:val="bottom"/>
          </w:tcPr>
          <w:p>
            <w:pPr>
              <w:ind w:left="20"/>
              <w:spacing w:after="0" w:line="192" w:lineRule="exact"/>
              <w:rPr>
                <w:sz w:val="20"/>
                <w:szCs w:val="20"/>
                <w:color w:val="auto"/>
              </w:rPr>
            </w:pPr>
            <w:r>
              <w:rPr>
                <w:rFonts w:ascii="Arial" w:cs="Arial" w:eastAsia="Arial" w:hAnsi="Arial"/>
                <w:sz w:val="17"/>
                <w:szCs w:val="17"/>
                <w:b w:val="1"/>
                <w:bCs w:val="1"/>
                <w:color w:val="auto"/>
              </w:rPr>
              <w:t>diluted earnings per common share</w:t>
            </w:r>
          </w:p>
        </w:tc>
        <w:tc>
          <w:tcPr>
            <w:tcW w:w="4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32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gridSpan w:val="4"/>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gridSpan w:val="11"/>
          </w:tcPr>
          <w:p>
            <w:pPr>
              <w:ind w:left="60"/>
              <w:spacing w:after="0"/>
              <w:rPr>
                <w:sz w:val="20"/>
                <w:szCs w:val="20"/>
                <w:color w:val="auto"/>
              </w:rPr>
            </w:pPr>
            <w:r>
              <w:rPr>
                <w:rFonts w:ascii="Arial" w:cs="Arial" w:eastAsia="Arial" w:hAnsi="Arial"/>
                <w:sz w:val="17"/>
                <w:szCs w:val="17"/>
                <w:b w:val="1"/>
                <w:bCs w:val="1"/>
                <w:color w:val="auto"/>
                <w:w w:val="93"/>
              </w:rPr>
              <w:t>For the Three Months Ended June</w:t>
            </w:r>
          </w:p>
        </w:tc>
        <w:tc>
          <w:tcPr>
            <w:tcW w:w="140" w:type="dxa"/>
            <w:vAlign w:val="bottom"/>
          </w:tcPr>
          <w:p>
            <w:pPr>
              <w:spacing w:after="0"/>
              <w:rPr>
                <w:sz w:val="24"/>
                <w:szCs w:val="24"/>
                <w:color w:val="auto"/>
              </w:rPr>
            </w:pPr>
          </w:p>
        </w:tc>
        <w:tc>
          <w:tcPr>
            <w:tcW w:w="2620" w:type="dxa"/>
            <w:vAlign w:val="bottom"/>
            <w:gridSpan w:val="10"/>
            <w:vMerge w:val="restart"/>
          </w:tcPr>
          <w:p>
            <w:pPr>
              <w:ind w:left="20"/>
              <w:spacing w:after="0"/>
              <w:rPr>
                <w:sz w:val="20"/>
                <w:szCs w:val="20"/>
                <w:color w:val="auto"/>
              </w:rPr>
            </w:pPr>
            <w:r>
              <w:rPr>
                <w:rFonts w:ascii="Arial" w:cs="Arial" w:eastAsia="Arial" w:hAnsi="Arial"/>
                <w:sz w:val="17"/>
                <w:szCs w:val="17"/>
                <w:b w:val="1"/>
                <w:bCs w:val="1"/>
                <w:color w:val="auto"/>
                <w:w w:val="91"/>
              </w:rPr>
              <w:t>For the Six Months Ended June 30,</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7"/>
                <w:szCs w:val="17"/>
                <w:b w:val="1"/>
                <w:bCs w:val="1"/>
                <w:color w:val="auto"/>
                <w:w w:val="84"/>
              </w:rPr>
              <w:t>30,</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tcBorders>
              <w:bottom w:val="single" w:sz="8" w:color="auto"/>
            </w:tcBorders>
            <w:gridSpan w:val="10"/>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gridSpan w:val="5"/>
          </w:tcPr>
          <w:p>
            <w:pPr>
              <w:ind w:left="20"/>
              <w:spacing w:after="0"/>
              <w:rPr>
                <w:sz w:val="20"/>
                <w:szCs w:val="20"/>
                <w:color w:val="auto"/>
              </w:rPr>
            </w:pPr>
            <w:r>
              <w:rPr>
                <w:rFonts w:ascii="Arial" w:cs="Arial" w:eastAsia="Arial" w:hAnsi="Arial"/>
                <w:sz w:val="17"/>
                <w:szCs w:val="17"/>
                <w:b w:val="1"/>
                <w:bCs w:val="1"/>
                <w:color w:val="auto"/>
                <w:w w:val="91"/>
              </w:rPr>
              <w:t>Reconciliation of GAAP to Non-GAAP financial measures: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w w:val="89"/>
              </w:rPr>
              <w:t>2023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23"/>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w w:val="93"/>
              </w:rPr>
              <w:t>Net income (loss) including noncontrolling interest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30.5</w:t>
            </w:r>
          </w:p>
        </w:tc>
        <w:tc>
          <w:tcPr>
            <w:tcW w:w="460" w:type="dxa"/>
            <w:vAlign w:val="bottom"/>
            <w:gridSpan w:val="4"/>
            <w:shd w:val="clear" w:color="auto" w:fill="CCEEFF"/>
          </w:tcPr>
          <w:p>
            <w:pPr>
              <w:ind w:left="200"/>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24.8</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53.0</w:t>
            </w:r>
          </w:p>
        </w:tc>
        <w:tc>
          <w:tcPr>
            <w:tcW w:w="380" w:type="dxa"/>
            <w:vAlign w:val="bottom"/>
            <w:gridSpan w:val="4"/>
            <w:shd w:val="clear" w:color="auto" w:fill="CCEEFF"/>
          </w:tcPr>
          <w:p>
            <w:pPr>
              <w:jc w:val="right"/>
              <w:ind w:right="5"/>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51.1</w:t>
            </w:r>
          </w:p>
        </w:tc>
        <w:tc>
          <w:tcPr>
            <w:tcW w:w="0" w:type="dxa"/>
            <w:vAlign w:val="bottom"/>
          </w:tcPr>
          <w:p>
            <w:pPr>
              <w:spacing w:after="0"/>
              <w:rPr>
                <w:sz w:val="1"/>
                <w:szCs w:val="1"/>
                <w:color w:val="auto"/>
              </w:rPr>
            </w:pPr>
          </w:p>
        </w:tc>
      </w:tr>
      <w:tr>
        <w:trPr>
          <w:trHeight w:val="217"/>
        </w:trPr>
        <w:tc>
          <w:tcPr>
            <w:tcW w:w="3400" w:type="dxa"/>
            <w:vAlign w:val="bottom"/>
            <w:gridSpan w:val="2"/>
          </w:tcPr>
          <w:p>
            <w:pPr>
              <w:ind w:left="120"/>
              <w:spacing w:after="0"/>
              <w:rPr>
                <w:sz w:val="20"/>
                <w:szCs w:val="20"/>
                <w:color w:val="auto"/>
              </w:rPr>
            </w:pPr>
            <w:r>
              <w:rPr>
                <w:rFonts w:ascii="Arial" w:cs="Arial" w:eastAsia="Arial" w:hAnsi="Arial"/>
                <w:sz w:val="17"/>
                <w:szCs w:val="17"/>
                <w:color w:val="auto"/>
                <w:w w:val="92"/>
              </w:rPr>
              <w:t>Interest expense and other financing costs, net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84"/>
              </w:rPr>
              <w:t>26.5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(benefit) for income taxes</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7"/>
              </w:rPr>
              <w:t>(2.5)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Depreciation and amortization</w:t>
            </w:r>
          </w:p>
        </w:tc>
        <w:tc>
          <w:tcPr>
            <w:tcW w:w="4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26.3</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51.7</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75.1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w:t>
            </w:r>
          </w:p>
        </w:tc>
        <w:tc>
          <w:tcPr>
            <w:tcW w:w="0" w:type="dxa"/>
            <w:vAlign w:val="bottom"/>
          </w:tcPr>
          <w:p>
            <w:pPr>
              <w:spacing w:after="0"/>
              <w:rPr>
                <w:sz w:val="1"/>
                <w:szCs w:val="1"/>
                <w:color w:val="auto"/>
              </w:rPr>
            </w:pPr>
          </w:p>
        </w:tc>
      </w:tr>
      <w:tr>
        <w:trPr>
          <w:trHeight w:val="217"/>
        </w:trPr>
        <w:tc>
          <w:tcPr>
            <w:tcW w:w="3400" w:type="dxa"/>
            <w:vAlign w:val="bottom"/>
            <w:gridSpan w:val="2"/>
          </w:tcPr>
          <w:p>
            <w:pPr>
              <w:ind w:left="120"/>
              <w:spacing w:after="0"/>
              <w:rPr>
                <w:sz w:val="20"/>
                <w:szCs w:val="20"/>
                <w:color w:val="auto"/>
              </w:rPr>
            </w:pPr>
            <w:r>
              <w:rPr>
                <w:rFonts w:ascii="Arial" w:cs="Arial" w:eastAsia="Arial" w:hAnsi="Arial"/>
                <w:sz w:val="17"/>
                <w:szCs w:val="17"/>
                <w:color w:val="auto"/>
                <w:w w:val="98"/>
              </w:rPr>
              <w:t>Acquisition and divestiture related expenses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31"/>
        </w:trPr>
        <w:tc>
          <w:tcPr>
            <w:tcW w:w="3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(gain) on sale of business</w:t>
            </w:r>
          </w:p>
        </w:tc>
        <w:tc>
          <w:tcPr>
            <w:tcW w:w="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000" w:type="dxa"/>
            <w:vAlign w:val="bottom"/>
          </w:tcPr>
          <w:p>
            <w:pPr>
              <w:ind w:left="120"/>
              <w:spacing w:after="0"/>
              <w:rPr>
                <w:sz w:val="20"/>
                <w:szCs w:val="20"/>
                <w:color w:val="auto"/>
              </w:rPr>
            </w:pPr>
            <w:r>
              <w:rPr>
                <w:rFonts w:ascii="Arial" w:cs="Arial" w:eastAsia="Arial" w:hAnsi="Arial"/>
                <w:sz w:val="17"/>
                <w:szCs w:val="17"/>
                <w:color w:val="auto"/>
              </w:rPr>
              <w:t>Asset impairments</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Integration costs</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7"/>
                <w:szCs w:val="17"/>
                <w:b w:val="1"/>
                <w:bCs w:val="1"/>
                <w:color w:val="auto"/>
              </w:rPr>
              <w:t>Adjusted EBITDA</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98.8</w:t>
            </w:r>
          </w:p>
        </w:tc>
        <w:tc>
          <w:tcPr>
            <w:tcW w:w="4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4"/>
              </w:rPr>
              <w:t>76.4</w:t>
            </w:r>
          </w:p>
        </w:tc>
        <w:tc>
          <w:tcPr>
            <w:tcW w:w="14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185.7</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7"/>
                <w:szCs w:val="17"/>
                <w:b w:val="1"/>
                <w:bCs w:val="1"/>
                <w:color w:val="auto"/>
                <w:w w:val="84"/>
              </w:rPr>
              <w:t>$</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Borders>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gridSpan w:val="11"/>
          </w:tcPr>
          <w:p>
            <w:pPr>
              <w:ind w:left="60"/>
              <w:spacing w:after="0"/>
              <w:rPr>
                <w:sz w:val="20"/>
                <w:szCs w:val="20"/>
                <w:color w:val="auto"/>
              </w:rPr>
            </w:pPr>
            <w:r>
              <w:rPr>
                <w:rFonts w:ascii="Arial" w:cs="Arial" w:eastAsia="Arial" w:hAnsi="Arial"/>
                <w:sz w:val="17"/>
                <w:szCs w:val="17"/>
                <w:b w:val="1"/>
                <w:bCs w:val="1"/>
                <w:color w:val="auto"/>
                <w:w w:val="93"/>
              </w:rPr>
              <w:t>For the Three Months Ended June</w:t>
            </w:r>
          </w:p>
        </w:tc>
        <w:tc>
          <w:tcPr>
            <w:tcW w:w="140" w:type="dxa"/>
            <w:vAlign w:val="bottom"/>
          </w:tcPr>
          <w:p>
            <w:pPr>
              <w:spacing w:after="0"/>
              <w:rPr>
                <w:sz w:val="24"/>
                <w:szCs w:val="24"/>
                <w:color w:val="auto"/>
              </w:rPr>
            </w:pPr>
          </w:p>
        </w:tc>
        <w:tc>
          <w:tcPr>
            <w:tcW w:w="2620" w:type="dxa"/>
            <w:vAlign w:val="bottom"/>
            <w:gridSpan w:val="10"/>
            <w:vMerge w:val="restart"/>
          </w:tcPr>
          <w:p>
            <w:pPr>
              <w:ind w:left="20"/>
              <w:spacing w:after="0"/>
              <w:rPr>
                <w:sz w:val="20"/>
                <w:szCs w:val="20"/>
                <w:color w:val="auto"/>
              </w:rPr>
            </w:pPr>
            <w:r>
              <w:rPr>
                <w:rFonts w:ascii="Arial" w:cs="Arial" w:eastAsia="Arial" w:hAnsi="Arial"/>
                <w:sz w:val="17"/>
                <w:szCs w:val="17"/>
                <w:b w:val="1"/>
                <w:bCs w:val="1"/>
                <w:color w:val="auto"/>
                <w:w w:val="91"/>
              </w:rPr>
              <w:t>For the Six Months Ended June 30,</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7"/>
                <w:szCs w:val="17"/>
                <w:b w:val="1"/>
                <w:bCs w:val="1"/>
                <w:color w:val="auto"/>
                <w:w w:val="84"/>
              </w:rPr>
              <w:t>30,</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Borders>
              <w:bottom w:val="single" w:sz="8" w:color="auto"/>
            </w:tcBorders>
            <w:gridSpan w:val="1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5"/>
          </w:tcPr>
          <w:p>
            <w:pPr>
              <w:ind w:left="20"/>
              <w:spacing w:after="0"/>
              <w:rPr>
                <w:sz w:val="20"/>
                <w:szCs w:val="20"/>
                <w:color w:val="auto"/>
              </w:rPr>
            </w:pPr>
            <w:r>
              <w:rPr>
                <w:rFonts w:ascii="Arial" w:cs="Arial" w:eastAsia="Arial" w:hAnsi="Arial"/>
                <w:sz w:val="17"/>
                <w:szCs w:val="17"/>
                <w:b w:val="1"/>
                <w:bCs w:val="1"/>
                <w:color w:val="auto"/>
                <w:w w:val="91"/>
              </w:rPr>
              <w:t>Reconciliation of GAAP to Non-GAAP financial measures: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35"/>
              <w:spacing w:after="0"/>
              <w:rPr>
                <w:sz w:val="20"/>
                <w:szCs w:val="20"/>
                <w:color w:val="auto"/>
              </w:rPr>
            </w:pPr>
            <w:r>
              <w:rPr>
                <w:rFonts w:ascii="Arial" w:cs="Arial" w:eastAsia="Arial" w:hAnsi="Arial"/>
                <w:sz w:val="17"/>
                <w:szCs w:val="17"/>
                <w:b w:val="1"/>
                <w:bCs w:val="1"/>
                <w:color w:val="auto"/>
                <w:w w:val="89"/>
              </w:rPr>
              <w:t>2023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4"/>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55"/>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75.5</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52.8</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140.1</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94.1</w:t>
            </w:r>
          </w:p>
        </w:tc>
        <w:tc>
          <w:tcPr>
            <w:tcW w:w="0" w:type="dxa"/>
            <w:vAlign w:val="bottom"/>
          </w:tcPr>
          <w:p>
            <w:pPr>
              <w:spacing w:after="0"/>
              <w:rPr>
                <w:sz w:val="1"/>
                <w:szCs w:val="1"/>
                <w:color w:val="auto"/>
              </w:rPr>
            </w:pPr>
          </w:p>
        </w:tc>
      </w:tr>
      <w:tr>
        <w:trPr>
          <w:trHeight w:val="217"/>
        </w:trPr>
        <w:tc>
          <w:tcPr>
            <w:tcW w:w="3400" w:type="dxa"/>
            <w:vAlign w:val="bottom"/>
            <w:gridSpan w:val="2"/>
          </w:tcPr>
          <w:p>
            <w:pPr>
              <w:ind w:left="120"/>
              <w:spacing w:after="0"/>
              <w:rPr>
                <w:sz w:val="20"/>
                <w:szCs w:val="20"/>
                <w:color w:val="auto"/>
              </w:rPr>
            </w:pPr>
            <w:r>
              <w:rPr>
                <w:rFonts w:ascii="Arial" w:cs="Arial" w:eastAsia="Arial" w:hAnsi="Arial"/>
                <w:sz w:val="17"/>
                <w:szCs w:val="17"/>
                <w:color w:val="auto"/>
                <w:w w:val="98"/>
              </w:rPr>
              <w:t>Acquisition and divestiture related expenses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31"/>
        </w:trPr>
        <w:tc>
          <w:tcPr>
            <w:tcW w:w="3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 impairments</w:t>
            </w:r>
          </w:p>
        </w:tc>
        <w:tc>
          <w:tcPr>
            <w:tcW w:w="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Integration costs</w:t>
            </w:r>
          </w:p>
        </w:tc>
        <w:tc>
          <w:tcPr>
            <w:tcW w:w="4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Income from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76.3</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54.1</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140.9</w:t>
            </w: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96.0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09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WORLD KINECT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 SEGMENTS INFORMATION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(Unaudited -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7"/>
                <w:szCs w:val="17"/>
                <w:b w:val="1"/>
                <w:bCs w:val="1"/>
                <w:color w:val="auto"/>
                <w:w w:val="98"/>
              </w:rPr>
              <w:t>For the Three Months Ended June 30,</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7"/>
                <w:szCs w:val="17"/>
                <w:b w:val="1"/>
                <w:bCs w:val="1"/>
                <w:color w:val="auto"/>
                <w:w w:val="99"/>
              </w:rPr>
              <w:t>For the Six Months Ended June 30,</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Aviation segment</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5,194.4</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7,843.5</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11,417.2</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12,854.0</w:t>
            </w:r>
          </w:p>
        </w:tc>
        <w:tc>
          <w:tcPr>
            <w:tcW w:w="0" w:type="dxa"/>
            <w:vAlign w:val="bottom"/>
          </w:tcPr>
          <w:p>
            <w:pPr>
              <w:spacing w:after="0"/>
              <w:rPr>
                <w:sz w:val="1"/>
                <w:szCs w:val="1"/>
                <w:color w:val="auto"/>
              </w:rPr>
            </w:pPr>
          </w:p>
        </w:tc>
      </w:tr>
      <w:tr>
        <w:trPr>
          <w:trHeight w:val="217"/>
        </w:trPr>
        <w:tc>
          <w:tcPr>
            <w:tcW w:w="3400" w:type="dxa"/>
            <w:vAlign w:val="bottom"/>
          </w:tcPr>
          <w:p>
            <w:pPr>
              <w:ind w:left="140"/>
              <w:spacing w:after="0"/>
              <w:rPr>
                <w:sz w:val="20"/>
                <w:szCs w:val="20"/>
                <w:color w:val="auto"/>
              </w:rPr>
            </w:pPr>
            <w:r>
              <w:rPr>
                <w:rFonts w:ascii="Arial" w:cs="Arial" w:eastAsia="Arial" w:hAnsi="Arial"/>
                <w:sz w:val="17"/>
                <w:szCs w:val="17"/>
                <w:color w:val="auto"/>
              </w:rPr>
              <w:t>Land segment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3,642.3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5,431.8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7,533.5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9,812.6</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Marine segment</w:t>
            </w:r>
          </w:p>
        </w:tc>
        <w:tc>
          <w:tcPr>
            <w:tcW w:w="3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2,144.0</w:t>
            </w:r>
          </w:p>
        </w:tc>
        <w:tc>
          <w:tcPr>
            <w:tcW w:w="14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3,846.8</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4,511.6</w:t>
            </w:r>
          </w:p>
        </w:tc>
        <w:tc>
          <w:tcPr>
            <w:tcW w:w="14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6,837.5</w:t>
            </w:r>
          </w:p>
        </w:tc>
        <w:tc>
          <w:tcPr>
            <w:tcW w:w="0" w:type="dxa"/>
            <w:vAlign w:val="bottom"/>
          </w:tcPr>
          <w:p>
            <w:pPr>
              <w:spacing w:after="0"/>
              <w:rPr>
                <w:sz w:val="1"/>
                <w:szCs w:val="1"/>
                <w:color w:val="auto"/>
              </w:rPr>
            </w:pPr>
          </w:p>
        </w:tc>
      </w:tr>
      <w:tr>
        <w:trPr>
          <w:trHeight w:val="211"/>
        </w:trPr>
        <w:tc>
          <w:tcPr>
            <w:tcW w:w="3400" w:type="dxa"/>
            <w:vAlign w:val="bottom"/>
          </w:tcPr>
          <w:p>
            <w:pPr>
              <w:ind w:left="220"/>
              <w:spacing w:after="0"/>
              <w:rPr>
                <w:sz w:val="20"/>
                <w:szCs w:val="20"/>
                <w:color w:val="auto"/>
              </w:rPr>
            </w:pPr>
            <w:r>
              <w:rPr>
                <w:rFonts w:ascii="Arial" w:cs="Arial" w:eastAsia="Arial" w:hAnsi="Arial"/>
                <w:sz w:val="17"/>
                <w:szCs w:val="17"/>
                <w:color w:val="auto"/>
              </w:rPr>
              <w:t>Total revenue</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10,980.7</w:t>
            </w:r>
          </w:p>
        </w:tc>
        <w:tc>
          <w:tcPr>
            <w:tcW w:w="5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17,122.1</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23,462.3</w:t>
            </w:r>
          </w:p>
        </w:tc>
        <w:tc>
          <w:tcPr>
            <w:tcW w:w="5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29,504.1</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40"/>
              <w:spacing w:after="0"/>
              <w:rPr>
                <w:sz w:val="20"/>
                <w:szCs w:val="20"/>
                <w:color w:val="auto"/>
              </w:rPr>
            </w:pPr>
            <w:r>
              <w:rPr>
                <w:rFonts w:ascii="Arial" w:cs="Arial" w:eastAsia="Arial" w:hAnsi="Arial"/>
                <w:sz w:val="17"/>
                <w:szCs w:val="17"/>
                <w:color w:val="auto"/>
              </w:rPr>
              <w:t>Aviation segment</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128.2</w:t>
            </w:r>
          </w:p>
        </w:tc>
        <w:tc>
          <w:tcPr>
            <w:tcW w:w="5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52.8</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228.8</w:t>
            </w:r>
          </w:p>
        </w:tc>
        <w:tc>
          <w:tcPr>
            <w:tcW w:w="5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117.0</w:t>
            </w: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Land segment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242.2</w:t>
            </w:r>
          </w:p>
        </w:tc>
        <w:tc>
          <w:tcPr>
            <w:tcW w:w="0" w:type="dxa"/>
            <w:vAlign w:val="bottom"/>
          </w:tcPr>
          <w:p>
            <w:pPr>
              <w:spacing w:after="0"/>
              <w:rPr>
                <w:sz w:val="1"/>
                <w:szCs w:val="1"/>
                <w:color w:val="auto"/>
              </w:rPr>
            </w:pPr>
          </w:p>
        </w:tc>
      </w:tr>
      <w:tr>
        <w:trPr>
          <w:trHeight w:val="217"/>
        </w:trPr>
        <w:tc>
          <w:tcPr>
            <w:tcW w:w="3400" w:type="dxa"/>
            <w:vAlign w:val="bottom"/>
          </w:tcPr>
          <w:p>
            <w:pPr>
              <w:ind w:left="140"/>
              <w:spacing w:after="0"/>
              <w:rPr>
                <w:sz w:val="20"/>
                <w:szCs w:val="20"/>
                <w:color w:val="auto"/>
              </w:rPr>
            </w:pPr>
            <w:r>
              <w:rPr>
                <w:rFonts w:ascii="Arial" w:cs="Arial" w:eastAsia="Arial" w:hAnsi="Arial"/>
                <w:sz w:val="17"/>
                <w:szCs w:val="17"/>
                <w:color w:val="auto"/>
              </w:rPr>
              <w:t>Marine segment</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78.2</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w:t>
            </w:r>
          </w:p>
        </w:tc>
        <w:tc>
          <w:tcPr>
            <w:tcW w:w="0" w:type="dxa"/>
            <w:vAlign w:val="bottom"/>
          </w:tcPr>
          <w:p>
            <w:pPr>
              <w:spacing w:after="0"/>
              <w:rPr>
                <w:sz w:val="1"/>
                <w:szCs w:val="1"/>
                <w:color w:val="auto"/>
              </w:rPr>
            </w:pPr>
          </w:p>
        </w:tc>
      </w:tr>
      <w:tr>
        <w:trPr>
          <w:trHeight w:val="244"/>
        </w:trPr>
        <w:tc>
          <w:tcPr>
            <w:tcW w:w="3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gross profit</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281.7</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544.4</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484.4</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Income from operations: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Aviation segment</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3"/>
        </w:trPr>
        <w:tc>
          <w:tcPr>
            <w:tcW w:w="3400" w:type="dxa"/>
            <w:vAlign w:val="bottom"/>
          </w:tcPr>
          <w:p>
            <w:pPr>
              <w:ind w:left="140"/>
              <w:spacing w:after="0"/>
              <w:rPr>
                <w:sz w:val="20"/>
                <w:szCs w:val="20"/>
                <w:color w:val="auto"/>
              </w:rPr>
            </w:pPr>
            <w:r>
              <w:rPr>
                <w:rFonts w:ascii="Arial" w:cs="Arial" w:eastAsia="Arial" w:hAnsi="Arial"/>
                <w:sz w:val="17"/>
                <w:szCs w:val="17"/>
                <w:color w:val="auto"/>
              </w:rPr>
              <w:t>Land segment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24.6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33.0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50.8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66.3</w:t>
            </w: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Marine segment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0" w:type="dxa"/>
            <w:vAlign w:val="bottom"/>
          </w:tcPr>
          <w:p>
            <w:pPr>
              <w:spacing w:after="0"/>
              <w:rPr>
                <w:sz w:val="1"/>
                <w:szCs w:val="1"/>
                <w:color w:val="auto"/>
              </w:rPr>
            </w:pPr>
          </w:p>
        </w:tc>
      </w:tr>
      <w:tr>
        <w:trPr>
          <w:trHeight w:val="217"/>
        </w:trPr>
        <w:tc>
          <w:tcPr>
            <w:tcW w:w="3400" w:type="dxa"/>
            <w:vAlign w:val="bottom"/>
          </w:tcPr>
          <w:p>
            <w:pPr>
              <w:ind w:left="140"/>
              <w:spacing w:after="0"/>
              <w:rPr>
                <w:sz w:val="20"/>
                <w:szCs w:val="20"/>
                <w:color w:val="auto"/>
              </w:rPr>
            </w:pPr>
            <w:r>
              <w:rPr>
                <w:rFonts w:ascii="Arial" w:cs="Arial" w:eastAsia="Arial" w:hAnsi="Arial"/>
                <w:sz w:val="17"/>
                <w:szCs w:val="17"/>
                <w:color w:val="auto"/>
              </w:rPr>
              <w:t>Corporate overhead - unallocated</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44"/>
        </w:trPr>
        <w:tc>
          <w:tcPr>
            <w:tcW w:w="3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income from operations</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SALES VOLUME SUPPLEMENTAL INFORMATION</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(Unaudited -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20" w:type="dxa"/>
            <w:vAlign w:val="bottom"/>
          </w:tcPr>
          <w:p>
            <w:pPr>
              <w:spacing w:after="0"/>
              <w:rPr>
                <w:sz w:val="19"/>
                <w:szCs w:val="19"/>
                <w:color w:val="auto"/>
              </w:rPr>
            </w:pPr>
          </w:p>
        </w:tc>
        <w:tc>
          <w:tcPr>
            <w:tcW w:w="384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7"/>
                <w:szCs w:val="17"/>
                <w:b w:val="1"/>
                <w:bCs w:val="1"/>
                <w:color w:val="auto"/>
              </w:rPr>
              <w:t>For the Three Months Ended June 30,</w:t>
            </w:r>
          </w:p>
        </w:tc>
        <w:tc>
          <w:tcPr>
            <w:tcW w:w="140" w:type="dxa"/>
            <w:vAlign w:val="bottom"/>
          </w:tcPr>
          <w:p>
            <w:pPr>
              <w:spacing w:after="0"/>
              <w:rPr>
                <w:sz w:val="19"/>
                <w:szCs w:val="19"/>
                <w:color w:val="auto"/>
              </w:rPr>
            </w:pPr>
          </w:p>
        </w:tc>
        <w:tc>
          <w:tcPr>
            <w:tcW w:w="384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7"/>
                <w:szCs w:val="17"/>
                <w:b w:val="1"/>
                <w:bCs w:val="1"/>
                <w:color w:val="auto"/>
              </w:rPr>
              <w:t>For the Six Months Ended June 30,</w:t>
            </w:r>
          </w:p>
        </w:tc>
      </w:tr>
      <w:tr>
        <w:trPr>
          <w:trHeight w:val="217"/>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Volume (Gallons):</w:t>
            </w:r>
          </w:p>
        </w:tc>
        <w:tc>
          <w:tcPr>
            <w:tcW w:w="186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2022</w:t>
            </w:r>
          </w:p>
        </w:tc>
      </w:tr>
      <w:tr>
        <w:trPr>
          <w:trHeight w:val="210"/>
        </w:trPr>
        <w:tc>
          <w:tcPr>
            <w:tcW w:w="3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Aviation Segment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1,846.6</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1,831.2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3,623.7</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3,486.6</w:t>
            </w:r>
          </w:p>
        </w:tc>
      </w:tr>
      <w:tr>
        <w:trPr>
          <w:trHeight w:val="230"/>
        </w:trPr>
        <w:tc>
          <w:tcPr>
            <w:tcW w:w="3420" w:type="dxa"/>
            <w:vAlign w:val="bottom"/>
          </w:tcPr>
          <w:p>
            <w:pPr>
              <w:ind w:left="120"/>
              <w:spacing w:after="0" w:line="230" w:lineRule="exact"/>
              <w:rPr>
                <w:sz w:val="20"/>
                <w:szCs w:val="20"/>
                <w:color w:val="auto"/>
              </w:rPr>
            </w:pPr>
            <w:r>
              <w:rPr>
                <w:rFonts w:ascii="Arial" w:cs="Arial" w:eastAsia="Arial" w:hAnsi="Arial"/>
                <w:sz w:val="17"/>
                <w:szCs w:val="17"/>
                <w:color w:val="auto"/>
              </w:rPr>
              <w:t xml:space="preserve">Land Segment </w:t>
            </w:r>
            <w:r>
              <w:rPr>
                <w:rFonts w:ascii="Arial" w:cs="Arial" w:eastAsia="Arial" w:hAnsi="Arial"/>
                <w:sz w:val="22"/>
                <w:szCs w:val="22"/>
                <w:color w:val="auto"/>
                <w:vertAlign w:val="superscript"/>
              </w:rPr>
              <w:t>(1)</w:t>
            </w:r>
          </w:p>
        </w:tc>
        <w:tc>
          <w:tcPr>
            <w:tcW w:w="1860" w:type="dxa"/>
            <w:vAlign w:val="bottom"/>
          </w:tcPr>
          <w:p>
            <w:pPr>
              <w:jc w:val="right"/>
              <w:spacing w:after="0"/>
              <w:rPr>
                <w:sz w:val="20"/>
                <w:szCs w:val="20"/>
                <w:color w:val="auto"/>
              </w:rPr>
            </w:pPr>
            <w:r>
              <w:rPr>
                <w:rFonts w:ascii="Arial" w:cs="Arial" w:eastAsia="Arial" w:hAnsi="Arial"/>
                <w:sz w:val="17"/>
                <w:szCs w:val="17"/>
                <w:color w:val="auto"/>
              </w:rPr>
              <w:t>1,507.6</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1,531.7</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3,072.3</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3,114.3</w:t>
            </w:r>
          </w:p>
        </w:tc>
      </w:tr>
      <w:tr>
        <w:trPr>
          <w:trHeight w:val="217"/>
        </w:trPr>
        <w:tc>
          <w:tcPr>
            <w:tcW w:w="3420" w:type="dxa"/>
            <w:vAlign w:val="bottom"/>
            <w:shd w:val="clear" w:color="auto" w:fill="CCEEFF"/>
          </w:tcPr>
          <w:p>
            <w:pPr>
              <w:ind w:left="120"/>
              <w:spacing w:after="0" w:line="218" w:lineRule="exact"/>
              <w:rPr>
                <w:sz w:val="20"/>
                <w:szCs w:val="20"/>
                <w:color w:val="auto"/>
              </w:rPr>
            </w:pPr>
            <w:r>
              <w:rPr>
                <w:rFonts w:ascii="Arial" w:cs="Arial" w:eastAsia="Arial" w:hAnsi="Arial"/>
                <w:sz w:val="17"/>
                <w:szCs w:val="17"/>
                <w:color w:val="auto"/>
              </w:rPr>
              <w:t xml:space="preserve">Marine Segment </w:t>
            </w:r>
            <w:r>
              <w:rPr>
                <w:rFonts w:ascii="Arial" w:cs="Arial" w:eastAsia="Arial" w:hAnsi="Arial"/>
                <w:sz w:val="22"/>
                <w:szCs w:val="22"/>
                <w:color w:val="auto"/>
                <w:vertAlign w:val="superscript"/>
              </w:rPr>
              <w:t>(2)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1,111.2</w:t>
            </w:r>
          </w:p>
        </w:tc>
        <w:tc>
          <w:tcPr>
            <w:tcW w:w="12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1,288.3</w:t>
            </w:r>
          </w:p>
        </w:tc>
        <w:tc>
          <w:tcPr>
            <w:tcW w:w="14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2,241.2</w:t>
            </w:r>
          </w:p>
        </w:tc>
        <w:tc>
          <w:tcPr>
            <w:tcW w:w="14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2,526.5</w:t>
            </w:r>
          </w:p>
        </w:tc>
      </w:tr>
      <w:tr>
        <w:trPr>
          <w:trHeight w:val="210"/>
        </w:trPr>
        <w:tc>
          <w:tcPr>
            <w:tcW w:w="342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1860" w:type="dxa"/>
            <w:vAlign w:val="bottom"/>
          </w:tcPr>
          <w:p>
            <w:pPr>
              <w:jc w:val="right"/>
              <w:spacing w:after="0"/>
              <w:rPr>
                <w:sz w:val="20"/>
                <w:szCs w:val="20"/>
                <w:color w:val="auto"/>
              </w:rPr>
            </w:pPr>
            <w:r>
              <w:rPr>
                <w:rFonts w:ascii="Arial" w:cs="Arial" w:eastAsia="Arial" w:hAnsi="Arial"/>
                <w:sz w:val="17"/>
                <w:szCs w:val="17"/>
                <w:color w:val="auto"/>
              </w:rPr>
              <w:t>4,465.4</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4,651.1</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8,937.1</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9,127.4</w:t>
            </w:r>
          </w:p>
        </w:tc>
      </w:tr>
      <w:tr>
        <w:trPr>
          <w:trHeight w:val="20"/>
        </w:trPr>
        <w:tc>
          <w:tcPr>
            <w:tcW w:w="34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00" w:hanging="298"/>
        <w:spacing w:after="0"/>
        <w:tabs>
          <w:tab w:leader="none" w:pos="30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Includes gallons and gallon equivalents of British Thermal Units (BTU) for our natural gas sales and Kilowatt Hours (kWh) for our power business.</w:t>
      </w:r>
    </w:p>
    <w:p>
      <w:pPr>
        <w:spacing w:after="0" w:line="91" w:lineRule="exact"/>
        <w:rPr>
          <w:rFonts w:ascii="Arial" w:cs="Arial" w:eastAsia="Arial" w:hAnsi="Arial"/>
          <w:sz w:val="22"/>
          <w:szCs w:val="22"/>
          <w:color w:val="auto"/>
          <w:vertAlign w:val="superscript"/>
        </w:rPr>
      </w:pPr>
    </w:p>
    <w:p>
      <w:pPr>
        <w:ind w:left="300" w:hanging="298"/>
        <w:spacing w:after="0" w:line="225" w:lineRule="auto"/>
        <w:tabs>
          <w:tab w:leader="none" w:pos="30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Converted from metric tons to gallons at a rate of 264 gallons per metric ton. Marine segment metric tons were 4.2 and 4.9 for the three months ended June 30, 2023 and 2022, respectively; and 8.5 and 9.6 for the six months ended June 30, 2023 and 2022, respectively.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sectPr>
      <w:pgSz w:w="11900" w:h="16838" w:orient="portrait"/>
      <w:cols w:equalWidth="0" w:num="1">
        <w:col w:w="11240"/>
      </w:cols>
      <w:pgMar w:left="320" w:top="10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2023-07-27T15:50:43Z</dcterms:created>
  <dcterms:modified xsi:type="dcterms:W3CDTF">2023-07-27T15:50:43Z</dcterms:modified>
</cp:coreProperties>
</file>