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-592455</wp:posOffset>
            </wp:positionV>
            <wp:extent cx="8255" cy="593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309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-600075</wp:posOffset>
            </wp:positionV>
            <wp:extent cx="8255"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-576580</wp:posOffset>
            </wp:positionV>
            <wp:extent cx="1266190" cy="553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5308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030" cy="170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06880"/>
                    </a:xfrm>
                    <a:prstGeom prst="rect">
                      <a:avLst/>
                    </a:prstGeom>
                    <a:noFill/>
                  </pic:spPr>
                </pic:pic>
              </a:graphicData>
            </a:graphic>
          </wp:anchor>
        </w:drawing>
      </w:r>
    </w:p>
    <w:p>
      <w:pPr>
        <w:spacing w:after="0" w:line="84"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Birns Ira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260"/>
        <w:spacing w:after="0" w:line="360" w:lineRule="auto"/>
        <w:rPr>
          <w:sz w:val="20"/>
          <w:szCs w:val="20"/>
          <w:color w:val="auto"/>
        </w:rPr>
      </w:pPr>
      <w:r>
        <w:rPr>
          <w:rFonts w:ascii="Arial" w:cs="Arial" w:eastAsia="Arial" w:hAnsi="Arial"/>
          <w:sz w:val="16"/>
          <w:szCs w:val="16"/>
          <w:color w:val="0000FF"/>
        </w:rPr>
        <w:t>C/O WORLD FUEL SERVICES CORPORATION 9800 N.W. 41ST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0000FF"/>
              </w:rPr>
              <w:t>MIAMI</w:t>
            </w:r>
          </w:p>
        </w:tc>
        <w:tc>
          <w:tcPr>
            <w:tcW w:w="1160" w:type="dxa"/>
            <w:vAlign w:val="bottom"/>
          </w:tcPr>
          <w:p>
            <w:pPr>
              <w:ind w:left="360"/>
              <w:spacing w:after="0"/>
              <w:rPr>
                <w:sz w:val="20"/>
                <w:szCs w:val="20"/>
                <w:color w:val="auto"/>
              </w:rPr>
            </w:pPr>
            <w:r>
              <w:rPr>
                <w:rFonts w:ascii="Arial" w:cs="Arial" w:eastAsia="Arial" w:hAnsi="Arial"/>
                <w:sz w:val="16"/>
                <w:szCs w:val="16"/>
                <w:color w:val="0000FF"/>
              </w:rPr>
              <w:t>FL</w:t>
            </w:r>
          </w:p>
        </w:tc>
        <w:tc>
          <w:tcPr>
            <w:tcW w:w="1600" w:type="dxa"/>
            <w:vAlign w:val="bottom"/>
          </w:tcPr>
          <w:p>
            <w:pPr>
              <w:ind w:left="420"/>
              <w:spacing w:after="0"/>
              <w:rPr>
                <w:sz w:val="20"/>
                <w:szCs w:val="20"/>
                <w:color w:val="auto"/>
              </w:rPr>
            </w:pPr>
            <w:r>
              <w:rPr>
                <w:rFonts w:ascii="Arial" w:cs="Arial" w:eastAsia="Arial" w:hAnsi="Arial"/>
                <w:sz w:val="16"/>
                <w:szCs w:val="16"/>
                <w:color w:val="0000FF"/>
              </w:rPr>
              <w:t>33178</w:t>
            </w:r>
          </w:p>
        </w:tc>
      </w:tr>
      <w:tr>
        <w:trPr>
          <w:trHeight w:val="147"/>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WORLD FUEL SERVICES CORP</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INT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180" w:type="dxa"/>
            <w:vAlign w:val="bottom"/>
            <w:tcBorders>
              <w:bottom w:val="single" w:sz="8" w:color="2C2C2C"/>
            </w:tcBorders>
          </w:tcPr>
          <w:p>
            <w:pPr>
              <w:spacing w:after="0"/>
              <w:rPr>
                <w:sz w:val="15"/>
                <w:szCs w:val="15"/>
                <w:color w:val="auto"/>
              </w:rPr>
            </w:pPr>
          </w:p>
        </w:tc>
        <w:tc>
          <w:tcPr>
            <w:tcW w:w="3640" w:type="dxa"/>
            <w:vAlign w:val="bottom"/>
            <w:tcBorders>
              <w:bottom w:val="single" w:sz="8" w:color="2C2C2C"/>
            </w:tcBorders>
          </w:tcPr>
          <w:p>
            <w:pPr>
              <w:spacing w:after="0"/>
              <w:rPr>
                <w:sz w:val="15"/>
                <w:szCs w:val="1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6"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60"/>
              <w:spacing w:after="0"/>
              <w:rPr>
                <w:sz w:val="20"/>
                <w:szCs w:val="20"/>
                <w:color w:val="auto"/>
              </w:rPr>
            </w:pPr>
            <w:r>
              <w:rPr>
                <w:rFonts w:ascii="Arial" w:cs="Arial" w:eastAsia="Arial" w:hAnsi="Arial"/>
                <w:sz w:val="16"/>
                <w:szCs w:val="16"/>
                <w:color w:val="0000FF"/>
              </w:rPr>
              <w:t>Executive VP &amp; CFO</w:t>
            </w:r>
          </w:p>
        </w:tc>
        <w:tc>
          <w:tcPr>
            <w:tcW w:w="0" w:type="dxa"/>
            <w:vAlign w:val="bottom"/>
          </w:tcPr>
          <w:p>
            <w:pPr>
              <w:spacing w:after="0"/>
              <w:rPr>
                <w:sz w:val="1"/>
                <w:szCs w:val="1"/>
                <w:color w:val="auto"/>
              </w:rPr>
            </w:pPr>
          </w:p>
        </w:tc>
      </w:tr>
      <w:tr>
        <w:trPr>
          <w:trHeight w:val="208"/>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03/15/2021</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201930</wp:posOffset>
            </wp:positionV>
            <wp:extent cx="6971030" cy="1691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1691005"/>
                    </a:xfrm>
                    <a:prstGeom prst="rect">
                      <a:avLst/>
                    </a:prstGeom>
                    <a:noFill/>
                  </pic:spPr>
                </pic:pic>
              </a:graphicData>
            </a:graphic>
          </wp:anchor>
        </w:drawing>
      </w:r>
    </w:p>
    <w:p>
      <w:pPr>
        <w:spacing w:after="0" w:line="376" w:lineRule="exact"/>
        <w:rPr>
          <w:sz w:val="24"/>
          <w:szCs w:val="24"/>
          <w:color w:val="auto"/>
        </w:rPr>
      </w:pPr>
    </w:p>
    <w:p>
      <w:pPr>
        <w:sectPr>
          <w:pgSz w:w="11900" w:h="16838" w:orient="portrait"/>
          <w:cols w:equalWidth="0" w:num="2">
            <w:col w:w="3740" w:space="1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00"/>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20" w:type="dxa"/>
            <w:vAlign w:val="bottom"/>
            <w:gridSpan w:val="2"/>
          </w:tcPr>
          <w:p>
            <w:pPr>
              <w:jc w:val="center"/>
              <w:ind w:left="532"/>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7"/>
              </w:rPr>
              <w:t>4,167</w:t>
            </w:r>
            <w:r>
              <w:rPr>
                <w:rFonts w:ascii="Arial" w:cs="Arial" w:eastAsia="Arial" w:hAnsi="Arial"/>
                <w:sz w:val="21"/>
                <w:szCs w:val="21"/>
                <w:color w:val="008000"/>
                <w:w w:val="87"/>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right"/>
              <w:ind w:right="303"/>
              <w:spacing w:after="0"/>
              <w:rPr>
                <w:sz w:val="20"/>
                <w:szCs w:val="20"/>
                <w:color w:val="auto"/>
              </w:rPr>
            </w:pPr>
            <w:r>
              <w:rPr>
                <w:rFonts w:ascii="Arial" w:cs="Arial" w:eastAsia="Arial" w:hAnsi="Arial"/>
                <w:sz w:val="16"/>
                <w:szCs w:val="16"/>
                <w:color w:val="0000FF"/>
              </w:rPr>
              <w:t>122,314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6"/>
              </w:rPr>
              <w:t>332</w:t>
            </w:r>
            <w:r>
              <w:rPr>
                <w:rFonts w:ascii="Arial" w:cs="Arial" w:eastAsia="Arial" w:hAnsi="Arial"/>
                <w:sz w:val="21"/>
                <w:szCs w:val="21"/>
                <w:color w:val="008000"/>
                <w:w w:val="86"/>
                <w:vertAlign w:val="superscript"/>
              </w:rPr>
              <w:t>(3)</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right"/>
              <w:ind w:right="303"/>
              <w:spacing w:after="0"/>
              <w:rPr>
                <w:sz w:val="20"/>
                <w:szCs w:val="20"/>
                <w:color w:val="auto"/>
              </w:rPr>
            </w:pPr>
            <w:r>
              <w:rPr>
                <w:rFonts w:ascii="Arial" w:cs="Arial" w:eastAsia="Arial" w:hAnsi="Arial"/>
                <w:sz w:val="16"/>
                <w:szCs w:val="16"/>
                <w:color w:val="0000FF"/>
              </w:rPr>
              <w:t>121,982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7"/>
              </w:rPr>
              <w:t>3,073</w:t>
            </w:r>
            <w:r>
              <w:rPr>
                <w:rFonts w:ascii="Arial" w:cs="Arial" w:eastAsia="Arial" w:hAnsi="Arial"/>
                <w:sz w:val="21"/>
                <w:szCs w:val="21"/>
                <w:color w:val="008000"/>
                <w:w w:val="87"/>
                <w:vertAlign w:val="superscript"/>
              </w:rPr>
              <w:t>(4)</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right"/>
              <w:ind w:right="303"/>
              <w:spacing w:after="0"/>
              <w:rPr>
                <w:sz w:val="20"/>
                <w:szCs w:val="20"/>
                <w:color w:val="auto"/>
              </w:rPr>
            </w:pPr>
            <w:r>
              <w:rPr>
                <w:rFonts w:ascii="Arial" w:cs="Arial" w:eastAsia="Arial" w:hAnsi="Arial"/>
                <w:sz w:val="16"/>
                <w:szCs w:val="16"/>
                <w:color w:val="0000FF"/>
              </w:rPr>
              <w:t>118,909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7"/>
              </w:rPr>
              <w:t>9,514</w:t>
            </w:r>
            <w:r>
              <w:rPr>
                <w:rFonts w:ascii="Arial" w:cs="Arial" w:eastAsia="Arial" w:hAnsi="Arial"/>
                <w:sz w:val="21"/>
                <w:szCs w:val="21"/>
                <w:color w:val="008000"/>
                <w:w w:val="87"/>
                <w:vertAlign w:val="superscript"/>
              </w:rPr>
              <w:t>(5)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center"/>
              <w:ind w:left="89"/>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303"/>
              <w:spacing w:after="0"/>
              <w:rPr>
                <w:sz w:val="20"/>
                <w:szCs w:val="20"/>
                <w:color w:val="auto"/>
              </w:rPr>
            </w:pPr>
            <w:r>
              <w:rPr>
                <w:rFonts w:ascii="Arial" w:cs="Arial" w:eastAsia="Arial" w:hAnsi="Arial"/>
                <w:sz w:val="16"/>
                <w:szCs w:val="16"/>
                <w:color w:val="0000FF"/>
              </w:rPr>
              <w:t>128,423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20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00" w:type="dxa"/>
            <w:vAlign w:val="bottom"/>
            <w:gridSpan w:val="11"/>
          </w:tcPr>
          <w:p>
            <w:pPr>
              <w:jc w:val="center"/>
              <w:ind w:left="35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tcPr>
          <w:p>
            <w:pPr>
              <w:ind w:left="60"/>
              <w:spacing w:after="0" w:line="139" w:lineRule="exact"/>
              <w:rPr>
                <w:sz w:val="20"/>
                <w:szCs w:val="20"/>
                <w:color w:val="auto"/>
              </w:rPr>
            </w:pPr>
            <w:r>
              <w:rPr>
                <w:rFonts w:ascii="Arial" w:cs="Arial" w:eastAsia="Arial" w:hAnsi="Arial"/>
                <w:sz w:val="13"/>
                <w:szCs w:val="13"/>
                <w:color w:val="0000FF"/>
              </w:rPr>
              <w:t>Settled</w:t>
            </w:r>
          </w:p>
        </w:tc>
        <w:tc>
          <w:tcPr>
            <w:tcW w:w="76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27.52</w:t>
            </w:r>
            <w:r>
              <w:rPr>
                <w:rFonts w:ascii="Arial" w:cs="Arial" w:eastAsia="Arial" w:hAnsi="Arial"/>
                <w:sz w:val="21"/>
                <w:szCs w:val="21"/>
                <w:color w:val="008000"/>
                <w:vertAlign w:val="superscript"/>
              </w:rPr>
              <w:t>(6)</w:t>
            </w: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ind w:left="60"/>
              <w:spacing w:after="0"/>
              <w:rPr>
                <w:sz w:val="20"/>
                <w:szCs w:val="20"/>
                <w:color w:val="auto"/>
              </w:rPr>
            </w:pPr>
            <w:r>
              <w:rPr>
                <w:rFonts w:ascii="Arial" w:cs="Arial" w:eastAsia="Arial" w:hAnsi="Arial"/>
                <w:sz w:val="16"/>
                <w:szCs w:val="16"/>
                <w:color w:val="0000FF"/>
                <w:w w:val="93"/>
              </w:rPr>
              <w:t>46,642</w:t>
            </w:r>
            <w:r>
              <w:rPr>
                <w:rFonts w:ascii="Arial" w:cs="Arial" w:eastAsia="Arial" w:hAnsi="Arial"/>
                <w:sz w:val="21"/>
                <w:szCs w:val="21"/>
                <w:color w:val="008000"/>
                <w:w w:val="93"/>
                <w:vertAlign w:val="superscript"/>
              </w:rPr>
              <w:t>(7)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20" w:type="dxa"/>
            <w:vAlign w:val="bottom"/>
          </w:tcPr>
          <w:p>
            <w:pPr>
              <w:jc w:val="right"/>
              <w:ind w:right="142"/>
              <w:spacing w:after="0" w:line="123" w:lineRule="exact"/>
              <w:rPr>
                <w:sz w:val="20"/>
                <w:szCs w:val="20"/>
                <w:color w:val="auto"/>
              </w:rPr>
            </w:pPr>
            <w:r>
              <w:rPr>
                <w:rFonts w:ascii="Arial" w:cs="Arial" w:eastAsia="Arial" w:hAnsi="Arial"/>
                <w:sz w:val="13"/>
                <w:szCs w:val="13"/>
                <w:color w:val="0000FF"/>
              </w:rPr>
              <w:t>03/15/2021</w:t>
            </w:r>
          </w:p>
        </w:tc>
        <w:tc>
          <w:tcPr>
            <w:tcW w:w="1100" w:type="dxa"/>
            <w:vAlign w:val="bottom"/>
          </w:tcPr>
          <w:p>
            <w:pPr>
              <w:spacing w:after="0"/>
              <w:rPr>
                <w:sz w:val="10"/>
                <w:szCs w:val="10"/>
                <w:color w:val="auto"/>
              </w:rPr>
            </w:pPr>
          </w:p>
        </w:tc>
        <w:tc>
          <w:tcPr>
            <w:tcW w:w="62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10"/>
                <w:szCs w:val="10"/>
                <w:color w:val="auto"/>
              </w:rPr>
            </w:pPr>
          </w:p>
        </w:tc>
        <w:tc>
          <w:tcPr>
            <w:tcW w:w="540" w:type="dxa"/>
            <w:vAlign w:val="bottom"/>
          </w:tcPr>
          <w:p>
            <w:pPr>
              <w:ind w:left="80"/>
              <w:spacing w:after="0" w:line="123" w:lineRule="exact"/>
              <w:rPr>
                <w:sz w:val="20"/>
                <w:szCs w:val="20"/>
                <w:color w:val="auto"/>
              </w:rPr>
            </w:pPr>
            <w:r>
              <w:rPr>
                <w:rFonts w:ascii="Arial" w:cs="Arial" w:eastAsia="Arial" w:hAnsi="Arial"/>
                <w:sz w:val="13"/>
                <w:szCs w:val="13"/>
                <w:color w:val="0000FF"/>
              </w:rPr>
              <w:t>46,642</w:t>
            </w:r>
          </w:p>
        </w:tc>
        <w:tc>
          <w:tcPr>
            <w:tcW w:w="300" w:type="dxa"/>
            <w:vAlign w:val="bottom"/>
          </w:tcPr>
          <w:p>
            <w:pPr>
              <w:spacing w:after="0"/>
              <w:rPr>
                <w:sz w:val="10"/>
                <w:szCs w:val="10"/>
                <w:color w:val="auto"/>
              </w:rPr>
            </w:pPr>
          </w:p>
        </w:tc>
        <w:tc>
          <w:tcPr>
            <w:tcW w:w="760" w:type="dxa"/>
            <w:vAlign w:val="bottom"/>
            <w:gridSpan w:val="2"/>
          </w:tcPr>
          <w:p>
            <w:pPr>
              <w:ind w:left="40"/>
              <w:spacing w:after="0" w:line="123" w:lineRule="exact"/>
              <w:rPr>
                <w:sz w:val="20"/>
                <w:szCs w:val="20"/>
                <w:color w:val="auto"/>
              </w:rPr>
            </w:pPr>
            <w:r>
              <w:rPr>
                <w:rFonts w:ascii="Arial" w:cs="Arial" w:eastAsia="Arial" w:hAnsi="Arial"/>
                <w:sz w:val="13"/>
                <w:szCs w:val="13"/>
                <w:color w:val="0000FF"/>
              </w:rPr>
              <w:t>03/15/2021</w:t>
            </w:r>
          </w:p>
        </w:tc>
        <w:tc>
          <w:tcPr>
            <w:tcW w:w="720" w:type="dxa"/>
            <w:vAlign w:val="bottom"/>
          </w:tcPr>
          <w:p>
            <w:pPr>
              <w:ind w:left="20"/>
              <w:spacing w:after="0" w:line="123" w:lineRule="exact"/>
              <w:rPr>
                <w:sz w:val="20"/>
                <w:szCs w:val="20"/>
                <w:color w:val="auto"/>
              </w:rPr>
            </w:pPr>
            <w:r>
              <w:rPr>
                <w:rFonts w:ascii="Arial" w:cs="Arial" w:eastAsia="Arial" w:hAnsi="Arial"/>
                <w:sz w:val="13"/>
                <w:szCs w:val="13"/>
                <w:color w:val="0000FF"/>
              </w:rPr>
              <w:t>03/15/2023</w:t>
            </w: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40"/>
              <w:spacing w:after="0" w:line="123" w:lineRule="exact"/>
              <w:rPr>
                <w:sz w:val="20"/>
                <w:szCs w:val="20"/>
                <w:color w:val="auto"/>
              </w:rPr>
            </w:pPr>
            <w:r>
              <w:rPr>
                <w:rFonts w:ascii="Arial" w:cs="Arial" w:eastAsia="Arial" w:hAnsi="Arial"/>
                <w:sz w:val="13"/>
                <w:szCs w:val="13"/>
                <w:color w:val="0000FF"/>
              </w:rPr>
              <w:t>46,642</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w w:val="96"/>
              </w:rPr>
              <w:t>Appreciation</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ind w:left="100"/>
              <w:spacing w:after="0" w:line="139"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-1842770</wp:posOffset>
            </wp:positionV>
            <wp:extent cx="7035165" cy="1979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9792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Right</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26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10,588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March 15, 2021.</w:t>
      </w:r>
    </w:p>
    <w:p>
      <w:pPr>
        <w:spacing w:after="0" w:line="39" w:lineRule="exact"/>
        <w:rPr>
          <w:rFonts w:ascii="Arial" w:cs="Arial" w:eastAsia="Arial" w:hAnsi="Arial"/>
          <w:sz w:val="13"/>
          <w:szCs w:val="13"/>
          <w:color w:val="008000"/>
        </w:rPr>
      </w:pPr>
    </w:p>
    <w:p>
      <w:pPr>
        <w:ind w:left="40" w:right="4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842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3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7,807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18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earned by the reporting person based on the level of performance criteria met for fiscal year 2020. These restricted stock units will vest in three equal annual installments beginning on March 15, 2022.</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for the issuer's common stock on the NYSE on March 15, 2018, with a premium of 15%.</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stock-settled stock appreciation rights ("SSARs") earned by the reporting person based on the level of performance criteria satisfied under certain performance-based SSARs.</w:t>
      </w:r>
    </w:p>
    <w:p>
      <w:pPr>
        <w:sectPr>
          <w:pgSz w:w="11900" w:h="16838" w:orient="portrait"/>
          <w:cols w:equalWidth="0" w:num="1">
            <w:col w:w="11080"/>
          </w:cols>
          <w:pgMar w:left="460" w:top="219" w:right="35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0"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Amy A. Quintana,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0</wp:posOffset>
            </wp:positionV>
            <wp:extent cx="1325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16"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271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1780" cy="8255"/>
                    </a:xfrm>
                    <a:prstGeom prst="rect">
                      <a:avLst/>
                    </a:prstGeom>
                    <a:noFill/>
                  </pic:spPr>
                </pic:pic>
              </a:graphicData>
            </a:graphic>
          </wp:anchor>
        </w:drawing>
      </w:r>
    </w:p>
    <w:p>
      <w:pPr>
        <w:spacing w:after="0" w:line="5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0000FF"/>
        </w:rPr>
        <w:t>03/17/2021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74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38" w:orient="portrait"/>
          <w:cols w:equalWidth="0" w:num="2">
            <w:col w:w="8680" w:space="12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96673"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2021-03-17T20:39:24Z</dcterms:created>
  <dcterms:modified xsi:type="dcterms:W3CDTF">2021-03-17T20:39:24Z</dcterms:modified>
</cp:coreProperties>
</file>