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60" w:type="dxa"/>
        <w:tblCellMar>
          <w:top w:w="0" w:type="dxa"/>
          <w:left w:w="0" w:type="dxa"/>
          <w:bottom w:w="0" w:type="dxa"/>
          <w:right w:w="0" w:type="dxa"/>
        </w:tblCellMar>
      </w:tblPr>
      <w:tr>
        <w:trPr>
          <w:trHeight w:val="253"/>
        </w:trPr>
        <w:tc>
          <w:tcPr>
            <w:tcW w:w="6000" w:type="dxa"/>
            <w:vAlign w:val="bottom"/>
            <w:vMerge w:val="restart"/>
          </w:tcPr>
          <w:p>
            <w:pPr>
              <w:jc w:val="center"/>
              <w:ind w:right="618"/>
              <w:spacing w:after="0"/>
              <w:rPr>
                <w:sz w:val="20"/>
                <w:szCs w:val="20"/>
                <w:color w:val="auto"/>
              </w:rPr>
            </w:pPr>
            <w:r>
              <w:rPr>
                <w:rFonts w:ascii="Arial" w:cs="Arial" w:eastAsia="Arial" w:hAnsi="Arial"/>
                <w:sz w:val="24"/>
                <w:szCs w:val="24"/>
                <w:b w:val="1"/>
                <w:bCs w:val="1"/>
                <w:color w:val="auto"/>
                <w:w w:val="99"/>
              </w:rPr>
              <w:t>UNITED STATES</w:t>
            </w:r>
          </w:p>
        </w:tc>
        <w:tc>
          <w:tcPr>
            <w:tcW w:w="3880" w:type="dxa"/>
            <w:vAlign w:val="bottom"/>
          </w:tcPr>
          <w:p>
            <w:pPr>
              <w:jc w:val="center"/>
              <w:ind w:left="690"/>
              <w:spacing w:after="0"/>
              <w:rPr>
                <w:sz w:val="20"/>
                <w:szCs w:val="20"/>
                <w:color w:val="auto"/>
              </w:rPr>
            </w:pPr>
            <w:r>
              <w:rPr>
                <w:rFonts w:ascii="Arial" w:cs="Arial" w:eastAsia="Arial" w:hAnsi="Arial"/>
                <w:sz w:val="22"/>
                <w:szCs w:val="22"/>
                <w:b w:val="1"/>
                <w:bCs w:val="1"/>
                <w:color w:val="auto"/>
                <w:w w:val="96"/>
              </w:rPr>
              <w:t>OMB APPROVAL</w:t>
            </w:r>
          </w:p>
        </w:tc>
        <w:tc>
          <w:tcPr>
            <w:tcW w:w="0" w:type="dxa"/>
            <w:vAlign w:val="bottom"/>
          </w:tcPr>
          <w:p>
            <w:pPr>
              <w:spacing w:after="0"/>
              <w:rPr>
                <w:sz w:val="1"/>
                <w:szCs w:val="1"/>
                <w:color w:val="auto"/>
              </w:rPr>
            </w:pPr>
          </w:p>
        </w:tc>
      </w:tr>
      <w:tr>
        <w:trPr>
          <w:trHeight w:val="243"/>
        </w:trPr>
        <w:tc>
          <w:tcPr>
            <w:tcW w:w="6000" w:type="dxa"/>
            <w:vAlign w:val="bottom"/>
            <w:vMerge w:val="continue"/>
          </w:tcPr>
          <w:p>
            <w:pPr>
              <w:spacing w:after="0"/>
              <w:rPr>
                <w:sz w:val="21"/>
                <w:szCs w:val="21"/>
                <w:color w:val="auto"/>
              </w:rPr>
            </w:pPr>
          </w:p>
        </w:tc>
        <w:tc>
          <w:tcPr>
            <w:tcW w:w="3880" w:type="dxa"/>
            <w:vAlign w:val="bottom"/>
          </w:tcPr>
          <w:p>
            <w:pPr>
              <w:jc w:val="center"/>
              <w:ind w:left="690"/>
              <w:spacing w:after="0" w:line="243" w:lineRule="exact"/>
              <w:rPr>
                <w:sz w:val="20"/>
                <w:szCs w:val="20"/>
                <w:color w:val="auto"/>
              </w:rPr>
            </w:pPr>
            <w:r>
              <w:rPr>
                <w:rFonts w:ascii="Arial" w:cs="Arial" w:eastAsia="Arial" w:hAnsi="Arial"/>
                <w:sz w:val="22"/>
                <w:szCs w:val="22"/>
                <w:color w:val="auto"/>
                <w:w w:val="89"/>
              </w:rPr>
              <w:t>OMB Number:3235-0145</w:t>
            </w:r>
          </w:p>
        </w:tc>
        <w:tc>
          <w:tcPr>
            <w:tcW w:w="0" w:type="dxa"/>
            <w:vAlign w:val="bottom"/>
          </w:tcPr>
          <w:p>
            <w:pPr>
              <w:spacing w:after="0"/>
              <w:rPr>
                <w:sz w:val="1"/>
                <w:szCs w:val="1"/>
                <w:color w:val="auto"/>
              </w:rPr>
            </w:pPr>
          </w:p>
        </w:tc>
      </w:tr>
      <w:tr>
        <w:trPr>
          <w:trHeight w:val="278"/>
        </w:trPr>
        <w:tc>
          <w:tcPr>
            <w:tcW w:w="6000" w:type="dxa"/>
            <w:vAlign w:val="bottom"/>
          </w:tcPr>
          <w:p>
            <w:pPr>
              <w:jc w:val="center"/>
              <w:ind w:right="638"/>
              <w:spacing w:after="0"/>
              <w:rPr>
                <w:sz w:val="20"/>
                <w:szCs w:val="20"/>
                <w:color w:val="auto"/>
              </w:rPr>
            </w:pPr>
            <w:r>
              <w:rPr>
                <w:rFonts w:ascii="Arial" w:cs="Arial" w:eastAsia="Arial" w:hAnsi="Arial"/>
                <w:sz w:val="24"/>
                <w:szCs w:val="24"/>
                <w:b w:val="1"/>
                <w:bCs w:val="1"/>
                <w:color w:val="auto"/>
              </w:rPr>
              <w:t>SECURITIES AND EXCHANGE COMMISSION</w:t>
            </w:r>
          </w:p>
        </w:tc>
        <w:tc>
          <w:tcPr>
            <w:tcW w:w="3880" w:type="dxa"/>
            <w:vAlign w:val="bottom"/>
          </w:tcPr>
          <w:p>
            <w:pPr>
              <w:jc w:val="center"/>
              <w:ind w:left="690"/>
              <w:spacing w:after="0"/>
              <w:rPr>
                <w:sz w:val="20"/>
                <w:szCs w:val="20"/>
                <w:color w:val="auto"/>
              </w:rPr>
            </w:pPr>
            <w:r>
              <w:rPr>
                <w:rFonts w:ascii="Arial" w:cs="Arial" w:eastAsia="Arial" w:hAnsi="Arial"/>
                <w:sz w:val="22"/>
                <w:szCs w:val="22"/>
                <w:color w:val="auto"/>
                <w:w w:val="86"/>
              </w:rPr>
              <w:t>Estimated average burden hours per</w:t>
            </w:r>
          </w:p>
        </w:tc>
        <w:tc>
          <w:tcPr>
            <w:tcW w:w="0" w:type="dxa"/>
            <w:vAlign w:val="bottom"/>
          </w:tcPr>
          <w:p>
            <w:pPr>
              <w:spacing w:after="0"/>
              <w:rPr>
                <w:sz w:val="1"/>
                <w:szCs w:val="1"/>
                <w:color w:val="auto"/>
              </w:rPr>
            </w:pPr>
          </w:p>
        </w:tc>
      </w:tr>
      <w:tr>
        <w:trPr>
          <w:trHeight w:val="275"/>
        </w:trPr>
        <w:tc>
          <w:tcPr>
            <w:tcW w:w="6000" w:type="dxa"/>
            <w:vAlign w:val="bottom"/>
            <w:vMerge w:val="restart"/>
          </w:tcPr>
          <w:p>
            <w:pPr>
              <w:jc w:val="center"/>
              <w:ind w:right="618"/>
              <w:spacing w:after="0"/>
              <w:rPr>
                <w:sz w:val="20"/>
                <w:szCs w:val="20"/>
                <w:color w:val="auto"/>
              </w:rPr>
            </w:pPr>
            <w:r>
              <w:rPr>
                <w:rFonts w:ascii="Arial" w:cs="Arial" w:eastAsia="Arial" w:hAnsi="Arial"/>
                <w:sz w:val="24"/>
                <w:szCs w:val="24"/>
                <w:b w:val="1"/>
                <w:bCs w:val="1"/>
                <w:color w:val="auto"/>
                <w:w w:val="91"/>
              </w:rPr>
              <w:t>Washington, D.C. 20549</w:t>
            </w:r>
          </w:p>
        </w:tc>
        <w:tc>
          <w:tcPr>
            <w:tcW w:w="3880" w:type="dxa"/>
            <w:vAlign w:val="bottom"/>
          </w:tcPr>
          <w:p>
            <w:pPr>
              <w:jc w:val="center"/>
              <w:ind w:left="690"/>
              <w:spacing w:after="0"/>
              <w:rPr>
                <w:sz w:val="20"/>
                <w:szCs w:val="20"/>
                <w:color w:val="auto"/>
              </w:rPr>
            </w:pPr>
            <w:r>
              <w:rPr>
                <w:rFonts w:ascii="Arial" w:cs="Arial" w:eastAsia="Arial" w:hAnsi="Arial"/>
                <w:sz w:val="22"/>
                <w:szCs w:val="22"/>
                <w:color w:val="auto"/>
                <w:w w:val="87"/>
              </w:rPr>
              <w:t>response . . . . . . . . . .14.90</w:t>
            </w:r>
          </w:p>
        </w:tc>
        <w:tc>
          <w:tcPr>
            <w:tcW w:w="0" w:type="dxa"/>
            <w:vAlign w:val="bottom"/>
          </w:tcPr>
          <w:p>
            <w:pPr>
              <w:spacing w:after="0"/>
              <w:rPr>
                <w:sz w:val="1"/>
                <w:szCs w:val="1"/>
                <w:color w:val="auto"/>
              </w:rPr>
            </w:pPr>
          </w:p>
        </w:tc>
      </w:tr>
      <w:tr>
        <w:trPr>
          <w:trHeight w:val="81"/>
        </w:trPr>
        <w:tc>
          <w:tcPr>
            <w:tcW w:w="6000" w:type="dxa"/>
            <w:vAlign w:val="bottom"/>
            <w:vMerge w:val="continue"/>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SCHEDULE 13G</w:t>
      </w:r>
    </w:p>
    <w:p>
      <w:pPr>
        <w:spacing w:after="0" w:line="237"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INFORMATION STATEMENT TO BE INCLUDED IN STATEMENTS FILED PURSUANT TO RULES 13d-1 (b) (c) AND (d) AND AMENDMENTS THERETO FILED PURSUANT TO RULE 13d-2 (b)</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Issuer)</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00" w:right="9440" w:hanging="3"/>
        <w:spacing w:after="0" w:line="563" w:lineRule="auto"/>
        <w:tabs>
          <w:tab w:leader="none" w:pos="916"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13d-(c) o Rule 13d-1 (d)</w:t>
      </w:r>
    </w:p>
    <w:p>
      <w:pPr>
        <w:spacing w:after="0" w:line="1" w:lineRule="exact"/>
        <w:rPr>
          <w:rFonts w:ascii="Arial" w:cs="Arial" w:eastAsia="Arial" w:hAnsi="Arial"/>
          <w:sz w:val="16"/>
          <w:szCs w:val="16"/>
          <w:color w:val="auto"/>
        </w:rPr>
      </w:pPr>
    </w:p>
    <w:p>
      <w:pPr>
        <w:ind w:firstLine="439"/>
        <w:spacing w:after="0" w:line="268"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firstLine="436"/>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80"/>
          </w:cols>
          <w:pgMar w:left="240" w:top="216"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OF ABOVE PERSON</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NFJ INVESTMENT GROUP L.P. (IRS No. 75-2557611)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right"/>
              <w:ind w:right="332"/>
              <w:spacing w:after="0"/>
              <w:rPr>
                <w:sz w:val="20"/>
                <w:szCs w:val="20"/>
                <w:color w:val="auto"/>
              </w:rPr>
            </w:pPr>
            <w:r>
              <w:rPr>
                <w:rFonts w:ascii="Arial" w:cs="Arial" w:eastAsia="Arial" w:hAnsi="Arial"/>
                <w:sz w:val="18"/>
                <w:szCs w:val="18"/>
                <w:b w:val="1"/>
                <w:bCs w:val="1"/>
                <w:color w:val="auto"/>
                <w:w w:val="79"/>
              </w:rPr>
              <w:t>2</w:t>
            </w:r>
          </w:p>
        </w:tc>
        <w:tc>
          <w:tcPr>
            <w:tcW w:w="7360" w:type="dxa"/>
            <w:vAlign w:val="bottom"/>
          </w:tcPr>
          <w:p>
            <w:pPr>
              <w:ind w:left="400"/>
              <w:spacing w:after="0"/>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Pr>
          <w:p>
            <w:pPr>
              <w:ind w:left="2020"/>
              <w:spacing w:after="0"/>
              <w:rPr>
                <w:sz w:val="20"/>
                <w:szCs w:val="20"/>
                <w:color w:val="auto"/>
              </w:rPr>
            </w:pPr>
            <w:r>
              <w:rPr>
                <w:rFonts w:ascii="Arial" w:cs="Arial" w:eastAsia="Arial" w:hAnsi="Arial"/>
                <w:sz w:val="18"/>
                <w:szCs w:val="18"/>
                <w:color w:val="auto"/>
              </w:rPr>
              <w:t>(a)</w:t>
            </w:r>
          </w:p>
        </w:tc>
        <w:tc>
          <w:tcPr>
            <w:tcW w:w="300" w:type="dxa"/>
            <w:vAlign w:val="bottom"/>
          </w:tcPr>
          <w:p>
            <w:pPr>
              <w:ind w:left="180"/>
              <w:spacing w:after="0"/>
              <w:rPr>
                <w:sz w:val="20"/>
                <w:szCs w:val="20"/>
                <w:color w:val="auto"/>
              </w:rPr>
            </w:pPr>
            <w:r>
              <w:rPr>
                <w:rFonts w:ascii="Arial" w:cs="Arial" w:eastAsia="Arial" w:hAnsi="Arial"/>
                <w:sz w:val="22"/>
                <w:szCs w:val="22"/>
                <w:color w:val="auto"/>
                <w:w w:val="81"/>
              </w:rPr>
              <w:t>o</w:t>
            </w:r>
          </w:p>
        </w:tc>
      </w:tr>
      <w:tr>
        <w:trPr>
          <w:trHeight w:val="275"/>
        </w:trPr>
        <w:tc>
          <w:tcPr>
            <w:tcW w:w="52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2420" w:type="dxa"/>
            <w:vAlign w:val="bottom"/>
          </w:tcPr>
          <w:p>
            <w:pPr>
              <w:ind w:left="2020"/>
              <w:spacing w:after="0"/>
              <w:rPr>
                <w:sz w:val="20"/>
                <w:szCs w:val="20"/>
                <w:color w:val="auto"/>
              </w:rPr>
            </w:pPr>
            <w:r>
              <w:rPr>
                <w:rFonts w:ascii="Arial" w:cs="Arial" w:eastAsia="Arial" w:hAnsi="Arial"/>
                <w:sz w:val="18"/>
                <w:szCs w:val="18"/>
                <w:color w:val="auto"/>
              </w:rPr>
              <w:t>(b)</w:t>
            </w:r>
          </w:p>
        </w:tc>
        <w:tc>
          <w:tcPr>
            <w:tcW w:w="300" w:type="dxa"/>
            <w:vAlign w:val="bottom"/>
          </w:tcPr>
          <w:p>
            <w:pPr>
              <w:ind w:left="180"/>
              <w:spacing w:after="0"/>
              <w:rPr>
                <w:sz w:val="20"/>
                <w:szCs w:val="20"/>
                <w:color w:val="auto"/>
              </w:rPr>
            </w:pPr>
            <w:r>
              <w:rPr>
                <w:rFonts w:ascii="Arial" w:cs="Arial" w:eastAsia="Arial" w:hAnsi="Arial"/>
                <w:sz w:val="22"/>
                <w:szCs w:val="22"/>
                <w:color w:val="auto"/>
                <w:w w:val="90"/>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20" w:hanging="445"/>
        <w:spacing w:after="0"/>
        <w:tabs>
          <w:tab w:leader="none" w:pos="20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6"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590,900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217170</wp:posOffset>
            </wp:positionV>
            <wp:extent cx="6268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1320" w:type="dxa"/>
            <w:vAlign w:val="bottom"/>
            <w:vMerge w:val="restart"/>
          </w:tcPr>
          <w:p>
            <w:pPr>
              <w:jc w:val="center"/>
              <w:ind w:right="12"/>
              <w:spacing w:after="0"/>
              <w:rPr>
                <w:sz w:val="20"/>
                <w:szCs w:val="20"/>
                <w:color w:val="auto"/>
              </w:rPr>
            </w:pPr>
            <w:r>
              <w:rPr>
                <w:rFonts w:ascii="Arial" w:cs="Arial" w:eastAsia="Arial" w:hAnsi="Arial"/>
                <w:sz w:val="18"/>
                <w:szCs w:val="18"/>
                <w:color w:val="auto"/>
                <w:w w:val="94"/>
              </w:rPr>
              <w:t>NUMBER OF</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96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9"/>
        </w:trPr>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9"/>
              </w:rPr>
              <w:t>SHARES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0" w:type="dxa"/>
            <w:vAlign w:val="bottom"/>
          </w:tcPr>
          <w:p>
            <w:pPr>
              <w:ind w:left="180"/>
              <w:spacing w:after="0" w:line="238"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5" w:lineRule="exact"/>
              <w:rPr>
                <w:sz w:val="20"/>
                <w:szCs w:val="20"/>
                <w:color w:val="auto"/>
              </w:rPr>
            </w:pPr>
            <w:r>
              <w:rPr>
                <w:rFonts w:ascii="Arial" w:cs="Arial" w:eastAsia="Arial" w:hAnsi="Arial"/>
                <w:sz w:val="18"/>
                <w:szCs w:val="18"/>
                <w:color w:val="auto"/>
                <w:w w:val="97"/>
              </w:rPr>
              <w:t>BENEFICIALLY</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jc w:val="center"/>
              <w:ind w:right="12"/>
              <w:spacing w:after="0" w:line="184" w:lineRule="exact"/>
              <w:rPr>
                <w:sz w:val="20"/>
                <w:szCs w:val="20"/>
                <w:color w:val="auto"/>
              </w:rPr>
            </w:pPr>
            <w:r>
              <w:rPr>
                <w:rFonts w:ascii="Arial" w:cs="Arial" w:eastAsia="Arial" w:hAnsi="Arial"/>
                <w:sz w:val="18"/>
                <w:szCs w:val="18"/>
                <w:color w:val="auto"/>
                <w:w w:val="95"/>
              </w:rPr>
              <w:t>OWNED BY</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jc w:val="center"/>
              <w:ind w:right="52"/>
              <w:spacing w:after="0"/>
              <w:rPr>
                <w:sz w:val="20"/>
                <w:szCs w:val="20"/>
                <w:color w:val="auto"/>
              </w:rPr>
            </w:pPr>
            <w:r>
              <w:rPr>
                <w:rFonts w:ascii="Arial" w:cs="Arial" w:eastAsia="Arial" w:hAnsi="Arial"/>
                <w:sz w:val="18"/>
                <w:szCs w:val="18"/>
                <w:color w:val="auto"/>
                <w:w w:val="91"/>
              </w:rPr>
              <w:t>EACH</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91"/>
              </w:rPr>
              <w:t>REPORTING</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7</w:t>
            </w: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1320" w:type="dxa"/>
            <w:vAlign w:val="bottom"/>
            <w:vMerge w:val="restart"/>
          </w:tcPr>
          <w:p>
            <w:pPr>
              <w:jc w:val="center"/>
              <w:ind w:right="12"/>
              <w:spacing w:after="0"/>
              <w:rPr>
                <w:sz w:val="20"/>
                <w:szCs w:val="20"/>
                <w:color w:val="auto"/>
              </w:rPr>
            </w:pPr>
            <w:r>
              <w:rPr>
                <w:rFonts w:ascii="Arial" w:cs="Arial" w:eastAsia="Arial" w:hAnsi="Arial"/>
                <w:sz w:val="18"/>
                <w:szCs w:val="18"/>
                <w:color w:val="auto"/>
                <w:w w:val="86"/>
              </w:rPr>
              <w:t>PERSON</w:t>
            </w:r>
          </w:p>
        </w:tc>
        <w:tc>
          <w:tcPr>
            <w:tcW w:w="340" w:type="dxa"/>
            <w:vAlign w:val="bottom"/>
            <w:gridSpan w:val="2"/>
            <w:vMerge w:val="continue"/>
          </w:tcPr>
          <w:p>
            <w:pPr>
              <w:spacing w:after="0"/>
              <w:rPr>
                <w:sz w:val="7"/>
                <w:szCs w:val="7"/>
                <w:color w:val="auto"/>
              </w:rPr>
            </w:pPr>
          </w:p>
        </w:tc>
        <w:tc>
          <w:tcPr>
            <w:tcW w:w="9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590,900</w:t>
            </w:r>
          </w:p>
        </w:tc>
        <w:tc>
          <w:tcPr>
            <w:tcW w:w="0" w:type="dxa"/>
            <w:vAlign w:val="bottom"/>
          </w:tcPr>
          <w:p>
            <w:pPr>
              <w:spacing w:after="0"/>
              <w:rPr>
                <w:sz w:val="1"/>
                <w:szCs w:val="1"/>
                <w:color w:val="auto"/>
              </w:rPr>
            </w:pPr>
          </w:p>
        </w:tc>
      </w:tr>
      <w:tr>
        <w:trPr>
          <w:trHeight w:val="120"/>
        </w:trPr>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32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96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71"/>
        </w:trPr>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590,900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60" w:val="left"/>
          <w:tab w:leader="none" w:pos="105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w:t>
      </w:r>
      <w:r>
        <w:rPr>
          <w:sz w:val="20"/>
          <w:szCs w:val="20"/>
          <w:color w:val="auto"/>
        </w:rPr>
        <w:tab/>
      </w: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hanging="972"/>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972"/>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274" w:right="219" w:bottom="391"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*SEE INSTRUCTION BEFORE FILLING OUT!</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 of 5 Pages</w:t>
      </w:r>
    </w:p>
    <w:p>
      <w:pPr>
        <w:sectPr>
          <w:pgSz w:w="11900" w:h="16838" w:orient="portrait"/>
          <w:cols w:equalWidth="0" w:num="1">
            <w:col w:w="9019"/>
          </w:cols>
          <w:pgMar w:left="1440" w:top="12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Name of Issuer</w:t>
            </w:r>
            <w:r>
              <w:rPr>
                <w:rFonts w:ascii="Arial" w:cs="Arial" w:eastAsia="Arial" w:hAnsi="Arial"/>
                <w:sz w:val="18"/>
                <w:szCs w:val="18"/>
                <w:color w:val="auto"/>
              </w:rPr>
              <w:t>:</w:t>
            </w:r>
          </w:p>
        </w:tc>
        <w:tc>
          <w:tcPr>
            <w:tcW w:w="17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5"/>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World Fuel Services Corporation</w:t>
            </w:r>
          </w:p>
        </w:tc>
        <w:tc>
          <w:tcPr>
            <w:tcW w:w="1720" w:type="dxa"/>
            <w:vAlign w:val="bottom"/>
          </w:tcPr>
          <w:p>
            <w:pPr>
              <w:spacing w:after="0"/>
              <w:rPr>
                <w:sz w:val="20"/>
                <w:szCs w:val="20"/>
                <w:color w:val="auto"/>
              </w:rPr>
            </w:pPr>
          </w:p>
        </w:tc>
      </w:tr>
      <w:tr>
        <w:trPr>
          <w:trHeight w:val="394"/>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(b)</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720" w:type="dxa"/>
            <w:vAlign w:val="bottom"/>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0"/>
              </w:rPr>
              <w:t>700 South Royal Poinciana Bouevard, Suite 800</w:t>
            </w:r>
          </w:p>
        </w:tc>
        <w:tc>
          <w:tcPr>
            <w:tcW w:w="4380" w:type="dxa"/>
            <w:vAlign w:val="bottom"/>
            <w:gridSpan w:val="2"/>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Miami Springs, Florida 33166</w:t>
            </w:r>
          </w:p>
        </w:tc>
        <w:tc>
          <w:tcPr>
            <w:tcW w:w="1720" w:type="dxa"/>
            <w:vAlign w:val="bottom"/>
          </w:tcPr>
          <w:p>
            <w:pPr>
              <w:spacing w:after="0"/>
              <w:rPr>
                <w:sz w:val="19"/>
                <w:szCs w:val="19"/>
                <w:color w:val="auto"/>
              </w:rPr>
            </w:pPr>
          </w:p>
        </w:tc>
      </w:tr>
      <w:tr>
        <w:trPr>
          <w:trHeight w:val="39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Name of Person Filing:</w:t>
            </w:r>
          </w:p>
        </w:tc>
        <w:tc>
          <w:tcPr>
            <w:tcW w:w="17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5"/>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NFJ Investment Group L.P.</w:t>
            </w:r>
          </w:p>
        </w:tc>
        <w:tc>
          <w:tcPr>
            <w:tcW w:w="1720" w:type="dxa"/>
            <w:vAlign w:val="bottom"/>
          </w:tcPr>
          <w:p>
            <w:pPr>
              <w:spacing w:after="0"/>
              <w:rPr>
                <w:sz w:val="20"/>
                <w:szCs w:val="20"/>
                <w:color w:val="auto"/>
              </w:rPr>
            </w:pPr>
          </w:p>
        </w:tc>
      </w:tr>
      <w:tr>
        <w:trPr>
          <w:trHeight w:val="394"/>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(b)</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Address of Principal Business Office:</w:t>
            </w:r>
          </w:p>
        </w:tc>
        <w:tc>
          <w:tcPr>
            <w:tcW w:w="1720" w:type="dxa"/>
            <w:vAlign w:val="bottom"/>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0"/>
              </w:rPr>
              <w:t>2121 San Jancinto Street, Suite 1840</w:t>
            </w:r>
          </w:p>
        </w:tc>
        <w:tc>
          <w:tcPr>
            <w:tcW w:w="5160" w:type="dxa"/>
            <w:vAlign w:val="bottom"/>
            <w:gridSpan w:val="3"/>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Dallas, Texas 75201</w:t>
            </w:r>
          </w:p>
        </w:tc>
        <w:tc>
          <w:tcPr>
            <w:tcW w:w="1720" w:type="dxa"/>
            <w:vAlign w:val="bottom"/>
          </w:tcPr>
          <w:p>
            <w:pPr>
              <w:spacing w:after="0"/>
              <w:rPr>
                <w:sz w:val="19"/>
                <w:szCs w:val="19"/>
                <w:color w:val="auto"/>
              </w:rPr>
            </w:pPr>
          </w:p>
        </w:tc>
      </w:tr>
      <w:tr>
        <w:trPr>
          <w:trHeight w:val="394"/>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(c)</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Citizenship:</w:t>
            </w:r>
          </w:p>
        </w:tc>
        <w:tc>
          <w:tcPr>
            <w:tcW w:w="17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5"/>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Not Applicable.</w:t>
            </w:r>
          </w:p>
        </w:tc>
        <w:tc>
          <w:tcPr>
            <w:tcW w:w="1720" w:type="dxa"/>
            <w:vAlign w:val="bottom"/>
          </w:tcPr>
          <w:p>
            <w:pPr>
              <w:spacing w:after="0"/>
              <w:rPr>
                <w:sz w:val="20"/>
                <w:szCs w:val="20"/>
                <w:color w:val="auto"/>
              </w:rPr>
            </w:pPr>
          </w:p>
        </w:tc>
      </w:tr>
      <w:tr>
        <w:trPr>
          <w:trHeight w:val="394"/>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(d)</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Title of Class of Securities:</w:t>
            </w:r>
          </w:p>
        </w:tc>
        <w:tc>
          <w:tcPr>
            <w:tcW w:w="1720" w:type="dxa"/>
            <w:vAlign w:val="bottom"/>
          </w:tcPr>
          <w:p>
            <w:pPr>
              <w:spacing w:after="0"/>
              <w:rPr>
                <w:sz w:val="24"/>
                <w:szCs w:val="24"/>
                <w:color w:val="auto"/>
              </w:rPr>
            </w:pPr>
          </w:p>
        </w:tc>
      </w:tr>
      <w:tr>
        <w:trPr>
          <w:trHeight w:val="235"/>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Common Stock</w:t>
            </w:r>
          </w:p>
        </w:tc>
        <w:tc>
          <w:tcPr>
            <w:tcW w:w="5940" w:type="dxa"/>
            <w:vAlign w:val="bottom"/>
            <w:gridSpan w:val="4"/>
          </w:tcPr>
          <w:p>
            <w:pPr>
              <w:spacing w:after="0"/>
              <w:rPr>
                <w:sz w:val="20"/>
                <w:szCs w:val="20"/>
                <w:color w:val="auto"/>
              </w:rPr>
            </w:pPr>
          </w:p>
        </w:tc>
        <w:tc>
          <w:tcPr>
            <w:tcW w:w="1720" w:type="dxa"/>
            <w:vAlign w:val="bottom"/>
          </w:tcPr>
          <w:p>
            <w:pPr>
              <w:spacing w:after="0"/>
              <w:rPr>
                <w:sz w:val="20"/>
                <w:szCs w:val="20"/>
                <w:color w:val="auto"/>
              </w:rPr>
            </w:pPr>
          </w:p>
        </w:tc>
      </w:tr>
      <w:tr>
        <w:trPr>
          <w:trHeight w:val="394"/>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(e)</w:t>
            </w:r>
          </w:p>
        </w:tc>
        <w:tc>
          <w:tcPr>
            <w:tcW w:w="7880" w:type="dxa"/>
            <w:vAlign w:val="bottom"/>
            <w:gridSpan w:val="9"/>
          </w:tcPr>
          <w:p>
            <w:pPr>
              <w:spacing w:after="0"/>
              <w:rPr>
                <w:sz w:val="20"/>
                <w:szCs w:val="20"/>
                <w:color w:val="auto"/>
              </w:rPr>
            </w:pPr>
            <w:r>
              <w:rPr>
                <w:rFonts w:ascii="Arial" w:cs="Arial" w:eastAsia="Arial" w:hAnsi="Arial"/>
                <w:sz w:val="18"/>
                <w:szCs w:val="18"/>
                <w:b w:val="1"/>
                <w:bCs w:val="1"/>
                <w:color w:val="auto"/>
              </w:rPr>
              <w:t>CUSIP Number:</w:t>
            </w:r>
          </w:p>
        </w:tc>
        <w:tc>
          <w:tcPr>
            <w:tcW w:w="1720" w:type="dxa"/>
            <w:vAlign w:val="bottom"/>
          </w:tcPr>
          <w:p>
            <w:pPr>
              <w:spacing w:after="0"/>
              <w:rPr>
                <w:sz w:val="24"/>
                <w:szCs w:val="24"/>
                <w:color w:val="auto"/>
              </w:rPr>
            </w:pPr>
          </w:p>
        </w:tc>
      </w:tr>
      <w:tr>
        <w:trPr>
          <w:trHeight w:val="235"/>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981475106</w:t>
            </w: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580" w:type="dxa"/>
            <w:vAlign w:val="bottom"/>
            <w:gridSpan w:val="10"/>
          </w:tcPr>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tc>
        <w:tc>
          <w:tcPr>
            <w:tcW w:w="1720" w:type="dxa"/>
            <w:vAlign w:val="bottom"/>
          </w:tcPr>
          <w:p>
            <w:pPr>
              <w:spacing w:after="0"/>
              <w:rPr>
                <w:sz w:val="24"/>
                <w:szCs w:val="24"/>
                <w:color w:val="auto"/>
              </w:rPr>
            </w:pPr>
          </w:p>
        </w:tc>
      </w:tr>
      <w:tr>
        <w:trPr>
          <w:trHeight w:val="451"/>
        </w:trPr>
        <w:tc>
          <w:tcPr>
            <w:tcW w:w="104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o   Broker or dealer registered under Section 15 of the Exchange Act;</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w:t>
            </w:r>
          </w:p>
        </w:tc>
        <w:tc>
          <w:tcPr>
            <w:tcW w:w="7880" w:type="dxa"/>
            <w:vAlign w:val="bottom"/>
            <w:gridSpan w:val="9"/>
          </w:tcPr>
          <w:p>
            <w:pPr>
              <w:spacing w:after="0"/>
              <w:rPr>
                <w:sz w:val="20"/>
                <w:szCs w:val="20"/>
                <w:color w:val="auto"/>
              </w:rPr>
            </w:pPr>
            <w:r>
              <w:rPr>
                <w:rFonts w:ascii="Arial" w:cs="Arial" w:eastAsia="Arial" w:hAnsi="Arial"/>
                <w:sz w:val="18"/>
                <w:szCs w:val="18"/>
                <w:color w:val="auto"/>
              </w:rPr>
              <w:t>o   Bank as defined in Section 3(a)(6) of the Exchange Act;</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w:t>
            </w:r>
          </w:p>
        </w:tc>
        <w:tc>
          <w:tcPr>
            <w:tcW w:w="7880" w:type="dxa"/>
            <w:vAlign w:val="bottom"/>
            <w:gridSpan w:val="9"/>
          </w:tcPr>
          <w:p>
            <w:pPr>
              <w:spacing w:after="0"/>
              <w:rPr>
                <w:sz w:val="20"/>
                <w:szCs w:val="20"/>
                <w:color w:val="auto"/>
              </w:rPr>
            </w:pPr>
            <w:r>
              <w:rPr>
                <w:rFonts w:ascii="Arial" w:cs="Arial" w:eastAsia="Arial" w:hAnsi="Arial"/>
                <w:sz w:val="18"/>
                <w:szCs w:val="18"/>
                <w:color w:val="auto"/>
              </w:rPr>
              <w:t>o   Insurance company as defined in Section 3(a)(19) of the Act;</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(d)</w:t>
            </w:r>
          </w:p>
        </w:tc>
        <w:tc>
          <w:tcPr>
            <w:tcW w:w="7880" w:type="dxa"/>
            <w:vAlign w:val="bottom"/>
            <w:gridSpan w:val="9"/>
          </w:tcPr>
          <w:p>
            <w:pPr>
              <w:spacing w:after="0"/>
              <w:rPr>
                <w:sz w:val="20"/>
                <w:szCs w:val="20"/>
                <w:color w:val="auto"/>
              </w:rPr>
            </w:pPr>
            <w:r>
              <w:rPr>
                <w:rFonts w:ascii="Arial" w:cs="Arial" w:eastAsia="Arial" w:hAnsi="Arial"/>
                <w:sz w:val="18"/>
                <w:szCs w:val="18"/>
                <w:color w:val="auto"/>
              </w:rPr>
              <w:t>o   Investment company registered under Section 8 of the Investment Company Act;</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w:t>
            </w:r>
          </w:p>
        </w:tc>
        <w:tc>
          <w:tcPr>
            <w:tcW w:w="7880" w:type="dxa"/>
            <w:vAlign w:val="bottom"/>
            <w:gridSpan w:val="9"/>
          </w:tcPr>
          <w:p>
            <w:pPr>
              <w:spacing w:after="0"/>
              <w:rPr>
                <w:sz w:val="20"/>
                <w:szCs w:val="20"/>
                <w:color w:val="auto"/>
              </w:rPr>
            </w:pPr>
            <w:r>
              <w:rPr>
                <w:rFonts w:ascii="Arial" w:cs="Arial" w:eastAsia="Arial" w:hAnsi="Arial"/>
                <w:sz w:val="18"/>
                <w:szCs w:val="18"/>
                <w:color w:val="auto"/>
              </w:rPr>
              <w:t>x   Investment adviser registered under Section 203 of the Investment Advisors Act of 1940;</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w:t>
            </w:r>
          </w:p>
        </w:tc>
        <w:tc>
          <w:tcPr>
            <w:tcW w:w="7880" w:type="dxa"/>
            <w:vAlign w:val="bottom"/>
            <w:gridSpan w:val="9"/>
          </w:tcPr>
          <w:p>
            <w:pPr>
              <w:spacing w:after="0"/>
              <w:rPr>
                <w:sz w:val="20"/>
                <w:szCs w:val="20"/>
                <w:color w:val="auto"/>
              </w:rPr>
            </w:pPr>
            <w:r>
              <w:rPr>
                <w:rFonts w:ascii="Arial" w:cs="Arial" w:eastAsia="Arial" w:hAnsi="Arial"/>
                <w:sz w:val="18"/>
                <w:szCs w:val="18"/>
                <w:color w:val="auto"/>
              </w:rPr>
              <w:t>o   Employee benefit plan or endowment fund in accordance with Rule 13d-1(b)(1)(ii)(F);</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(g)</w:t>
            </w:r>
          </w:p>
        </w:tc>
        <w:tc>
          <w:tcPr>
            <w:tcW w:w="7880" w:type="dxa"/>
            <w:vAlign w:val="bottom"/>
            <w:gridSpan w:val="9"/>
          </w:tcPr>
          <w:p>
            <w:pPr>
              <w:spacing w:after="0"/>
              <w:rPr>
                <w:sz w:val="20"/>
                <w:szCs w:val="20"/>
                <w:color w:val="auto"/>
              </w:rPr>
            </w:pPr>
            <w:r>
              <w:rPr>
                <w:rFonts w:ascii="Arial" w:cs="Arial" w:eastAsia="Arial" w:hAnsi="Arial"/>
                <w:sz w:val="18"/>
                <w:szCs w:val="18"/>
                <w:color w:val="auto"/>
              </w:rPr>
              <w:t>o   Parent holding company or control person, in accordance with 13d-1(b)(ii)(G);</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(h)</w:t>
            </w:r>
          </w:p>
        </w:tc>
        <w:tc>
          <w:tcPr>
            <w:tcW w:w="7880" w:type="dxa"/>
            <w:vAlign w:val="bottom"/>
            <w:gridSpan w:val="9"/>
          </w:tcPr>
          <w:p>
            <w:pPr>
              <w:spacing w:after="0"/>
              <w:rPr>
                <w:sz w:val="20"/>
                <w:szCs w:val="20"/>
                <w:color w:val="auto"/>
              </w:rPr>
            </w:pPr>
            <w:r>
              <w:rPr>
                <w:rFonts w:ascii="Arial" w:cs="Arial" w:eastAsia="Arial" w:hAnsi="Arial"/>
                <w:sz w:val="18"/>
                <w:szCs w:val="18"/>
                <w:color w:val="auto"/>
              </w:rPr>
              <w:t>o   Savings association as defined in Section 3(b) of the Federal Deposit Insurance Act;</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(i)</w:t>
            </w:r>
          </w:p>
        </w:tc>
        <w:tc>
          <w:tcPr>
            <w:tcW w:w="9600" w:type="dxa"/>
            <w:vAlign w:val="bottom"/>
            <w:gridSpan w:val="10"/>
          </w:tcPr>
          <w:p>
            <w:pPr>
              <w:spacing w:after="0"/>
              <w:rPr>
                <w:sz w:val="20"/>
                <w:szCs w:val="20"/>
                <w:color w:val="auto"/>
              </w:rPr>
            </w:pPr>
            <w:r>
              <w:rPr>
                <w:rFonts w:ascii="Arial" w:cs="Arial" w:eastAsia="Arial" w:hAnsi="Arial"/>
                <w:sz w:val="18"/>
                <w:szCs w:val="18"/>
                <w:color w:val="auto"/>
                <w:w w:val="90"/>
              </w:rPr>
              <w:t>o   Church plan that is excluded from the definition of an investment company under Section 3(c)(14) of the Investment Company Act;</w:t>
            </w: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(j)</w:t>
            </w:r>
          </w:p>
        </w:tc>
        <w:tc>
          <w:tcPr>
            <w:tcW w:w="7880" w:type="dxa"/>
            <w:vAlign w:val="bottom"/>
            <w:gridSpan w:val="9"/>
          </w:tcPr>
          <w:p>
            <w:pPr>
              <w:spacing w:after="0"/>
              <w:rPr>
                <w:sz w:val="20"/>
                <w:szCs w:val="20"/>
                <w:color w:val="auto"/>
              </w:rPr>
            </w:pPr>
            <w:r>
              <w:rPr>
                <w:rFonts w:ascii="Arial" w:cs="Arial" w:eastAsia="Arial" w:hAnsi="Arial"/>
                <w:sz w:val="18"/>
                <w:szCs w:val="18"/>
                <w:color w:val="auto"/>
              </w:rPr>
              <w:t>o   Group, in accordance with Rule13d-1(b)(1)(ii)(H).</w:t>
            </w:r>
          </w:p>
        </w:tc>
        <w:tc>
          <w:tcPr>
            <w:tcW w:w="1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auto"/>
              </w:rPr>
              <w:t>If this statement is filed pursuant to Rule 13d-1(c), check this box.</w:t>
            </w:r>
          </w:p>
        </w:tc>
        <w:tc>
          <w:tcPr>
            <w:tcW w:w="1720" w:type="dxa"/>
            <w:vAlign w:val="bottom"/>
          </w:tcPr>
          <w:p>
            <w:pPr>
              <w:ind w:left="1100"/>
              <w:spacing w:after="0"/>
              <w:rPr>
                <w:sz w:val="20"/>
                <w:szCs w:val="20"/>
                <w:color w:val="auto"/>
              </w:rPr>
            </w:pPr>
            <w:r>
              <w:rPr>
                <w:rFonts w:ascii="Arial" w:cs="Arial" w:eastAsia="Arial" w:hAnsi="Arial"/>
                <w:sz w:val="18"/>
                <w:szCs w:val="18"/>
                <w:color w:val="auto"/>
              </w:rPr>
              <w:t>o</w:t>
            </w:r>
          </w:p>
        </w:tc>
      </w:tr>
      <w:tr>
        <w:trPr>
          <w:trHeight w:val="432"/>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3"/>
          </w:tcPr>
          <w:p>
            <w:pPr>
              <w:ind w:left="620"/>
              <w:spacing w:after="0"/>
              <w:rPr>
                <w:sz w:val="20"/>
                <w:szCs w:val="20"/>
                <w:color w:val="auto"/>
              </w:rPr>
            </w:pPr>
            <w:r>
              <w:rPr>
                <w:rFonts w:ascii="Arial" w:cs="Arial" w:eastAsia="Arial" w:hAnsi="Arial"/>
                <w:sz w:val="18"/>
                <w:szCs w:val="18"/>
                <w:color w:val="auto"/>
              </w:rPr>
              <w:t>Page 3 of 5 Pages</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257" w:right="3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u w:val="single" w:color="auto"/>
          <w:color w:val="auto"/>
        </w:rPr>
        <w:t>Ownership</w:t>
      </w:r>
      <w:r>
        <w:rPr>
          <w:rFonts w:ascii="Arial" w:cs="Arial" w:eastAsia="Arial" w:hAnsi="Arial"/>
          <w:sz w:val="15"/>
          <w:szCs w:val="15"/>
          <w:b w:val="1"/>
          <w:bCs w:val="1"/>
          <w:color w:val="auto"/>
        </w:rPr>
        <w:t>.</w:t>
      </w:r>
    </w:p>
    <w:p>
      <w:pPr>
        <w:spacing w:after="0" w:line="225" w:lineRule="exact"/>
        <w:rPr>
          <w:sz w:val="20"/>
          <w:szCs w:val="20"/>
          <w:color w:val="auto"/>
        </w:rPr>
      </w:pPr>
    </w:p>
    <w:p>
      <w:pPr>
        <w:ind w:left="1720" w:hanging="686"/>
        <w:spacing w:after="0"/>
        <w:tabs>
          <w:tab w:leader="none" w:pos="1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590,900**</w:t>
      </w:r>
    </w:p>
    <w:p>
      <w:pPr>
        <w:spacing w:after="0" w:line="225" w:lineRule="exact"/>
        <w:rPr>
          <w:rFonts w:ascii="Arial" w:cs="Arial" w:eastAsia="Arial" w:hAnsi="Arial"/>
          <w:sz w:val="18"/>
          <w:szCs w:val="18"/>
          <w:b w:val="1"/>
          <w:bCs w:val="1"/>
          <w:color w:val="auto"/>
        </w:rPr>
      </w:pPr>
    </w:p>
    <w:p>
      <w:pPr>
        <w:ind w:left="1720" w:hanging="686"/>
        <w:spacing w:after="0"/>
        <w:tabs>
          <w:tab w:leader="none" w:pos="1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5.5</w:t>
      </w:r>
    </w:p>
    <w:p>
      <w:pPr>
        <w:spacing w:after="0" w:line="231" w:lineRule="exact"/>
        <w:rPr>
          <w:rFonts w:ascii="Arial" w:cs="Arial" w:eastAsia="Arial" w:hAnsi="Arial"/>
          <w:sz w:val="18"/>
          <w:szCs w:val="18"/>
          <w:b w:val="1"/>
          <w:bCs w:val="1"/>
          <w:color w:val="auto"/>
        </w:rPr>
      </w:pPr>
    </w:p>
    <w:p>
      <w:pPr>
        <w:ind w:left="1720" w:hanging="686"/>
        <w:spacing w:after="0"/>
        <w:tabs>
          <w:tab w:leader="none" w:pos="1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Number of shares as to which such person has:</w:t>
      </w:r>
    </w:p>
    <w:p>
      <w:pPr>
        <w:spacing w:after="0" w:line="219" w:lineRule="exact"/>
        <w:rPr>
          <w:sz w:val="20"/>
          <w:szCs w:val="20"/>
          <w:color w:val="auto"/>
        </w:rPr>
      </w:pPr>
    </w:p>
    <w:p>
      <w:pPr>
        <w:ind w:left="1720" w:hanging="686"/>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Sole power to vote or direct the vote: </w:t>
      </w:r>
      <w:r>
        <w:rPr>
          <w:rFonts w:ascii="Arial" w:cs="Arial" w:eastAsia="Arial" w:hAnsi="Arial"/>
          <w:sz w:val="18"/>
          <w:szCs w:val="18"/>
          <w:b w:val="1"/>
          <w:bCs w:val="1"/>
          <w:color w:val="auto"/>
        </w:rPr>
        <w:t>590,900**</w:t>
      </w:r>
    </w:p>
    <w:p>
      <w:pPr>
        <w:spacing w:after="0" w:line="225" w:lineRule="exact"/>
        <w:rPr>
          <w:rFonts w:ascii="Arial" w:cs="Arial" w:eastAsia="Arial" w:hAnsi="Arial"/>
          <w:sz w:val="18"/>
          <w:szCs w:val="18"/>
          <w:color w:val="auto"/>
        </w:rPr>
      </w:pPr>
    </w:p>
    <w:p>
      <w:pPr>
        <w:ind w:left="1720" w:hanging="686"/>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Shared power to vote: </w:t>
      </w:r>
      <w:r>
        <w:rPr>
          <w:rFonts w:ascii="Arial" w:cs="Arial" w:eastAsia="Arial" w:hAnsi="Arial"/>
          <w:sz w:val="18"/>
          <w:szCs w:val="18"/>
          <w:b w:val="1"/>
          <w:bCs w:val="1"/>
          <w:color w:val="auto"/>
        </w:rPr>
        <w:t>-0-</w:t>
      </w:r>
    </w:p>
    <w:p>
      <w:pPr>
        <w:spacing w:after="0" w:line="225" w:lineRule="exact"/>
        <w:rPr>
          <w:rFonts w:ascii="Arial" w:cs="Arial" w:eastAsia="Arial" w:hAnsi="Arial"/>
          <w:sz w:val="18"/>
          <w:szCs w:val="18"/>
          <w:color w:val="auto"/>
        </w:rPr>
      </w:pPr>
    </w:p>
    <w:p>
      <w:pPr>
        <w:ind w:left="1720" w:hanging="686"/>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Sole power to dispose or direct the disposition of: </w:t>
      </w:r>
      <w:r>
        <w:rPr>
          <w:rFonts w:ascii="Arial" w:cs="Arial" w:eastAsia="Arial" w:hAnsi="Arial"/>
          <w:sz w:val="18"/>
          <w:szCs w:val="18"/>
          <w:b w:val="1"/>
          <w:bCs w:val="1"/>
          <w:color w:val="auto"/>
        </w:rPr>
        <w:t>590,900**</w:t>
      </w:r>
    </w:p>
    <w:p>
      <w:pPr>
        <w:spacing w:after="0" w:line="225" w:lineRule="exact"/>
        <w:rPr>
          <w:rFonts w:ascii="Arial" w:cs="Arial" w:eastAsia="Arial" w:hAnsi="Arial"/>
          <w:sz w:val="18"/>
          <w:szCs w:val="18"/>
          <w:color w:val="auto"/>
        </w:rPr>
      </w:pPr>
    </w:p>
    <w:p>
      <w:pPr>
        <w:ind w:left="1720" w:hanging="686"/>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Shared power to dispose or direct the disposition of: </w:t>
      </w:r>
      <w:r>
        <w:rPr>
          <w:rFonts w:ascii="Arial" w:cs="Arial" w:eastAsia="Arial" w:hAnsi="Arial"/>
          <w:sz w:val="18"/>
          <w:szCs w:val="18"/>
          <w:b w:val="1"/>
          <w:bCs w:val="1"/>
          <w:color w:val="auto"/>
        </w:rPr>
        <w:t>-0-</w:t>
      </w:r>
    </w:p>
    <w:p>
      <w:pPr>
        <w:spacing w:after="0" w:line="231" w:lineRule="exact"/>
        <w:rPr>
          <w:sz w:val="20"/>
          <w:szCs w:val="20"/>
          <w:color w:val="auto"/>
        </w:rPr>
      </w:pPr>
    </w:p>
    <w:p>
      <w:pPr>
        <w:ind w:left="460" w:firstLine="307"/>
        <w:spacing w:after="0" w:line="255" w:lineRule="auto"/>
        <w:rPr>
          <w:sz w:val="20"/>
          <w:szCs w:val="20"/>
          <w:color w:val="auto"/>
        </w:rPr>
      </w:pPr>
      <w:r>
        <w:rPr>
          <w:rFonts w:ascii="Arial" w:cs="Arial" w:eastAsia="Arial" w:hAnsi="Arial"/>
          <w:sz w:val="18"/>
          <w:szCs w:val="18"/>
          <w:color w:val="auto"/>
        </w:rPr>
        <w:t>**This report is being filed on behalf of NFJ Investment Group L.P., a Delaware limited partnership and/or certain investment advisory clients or discretionary accounts relating to their collective beneficial ownership of shares of common stock of the Issuer. NFJ Investment Group L.P. is a registered investment adviser under Section 203 of the Investment Advisers Act of 1940. As a result of its role as investment adviser NFJ Investment Group L.P. may be deemed to be the beneficial owner of the securities of the Issuer. NFJ Investment Group L.P. has the sole power to dispose of the shares and to vote the shares under its written guidelines.</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r>
        <w:rPr>
          <w:rFonts w:ascii="Arial" w:cs="Arial" w:eastAsia="Arial" w:hAnsi="Arial"/>
          <w:sz w:val="15"/>
          <w:szCs w:val="15"/>
          <w:b w:val="1"/>
          <w:bCs w:val="1"/>
          <w:color w:val="auto"/>
        </w:rPr>
        <w:t>.</w:t>
      </w:r>
    </w:p>
    <w:p>
      <w:pPr>
        <w:spacing w:after="0" w:line="231" w:lineRule="exact"/>
        <w:rPr>
          <w:sz w:val="20"/>
          <w:szCs w:val="20"/>
          <w:color w:val="auto"/>
        </w:rPr>
      </w:pPr>
    </w:p>
    <w:p>
      <w:pPr>
        <w:ind w:left="460" w:firstLine="483"/>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Ownership of More than Five Percent on Behalf of Another Person</w:t>
      </w:r>
      <w:r>
        <w:rPr>
          <w:rFonts w:ascii="Arial" w:cs="Arial" w:eastAsia="Arial" w:hAnsi="Arial"/>
          <w:sz w:val="15"/>
          <w:szCs w:val="15"/>
          <w:b w:val="1"/>
          <w:bCs w:val="1"/>
          <w:color w:val="auto"/>
        </w:rPr>
        <w:t>.</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Identification and Clarification of the Subsidiary Which Acquired the Security Being Reported on By the Parent Holding Company.</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Clarification of Members of the Group.</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Group.</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1380"/>
          </w:cols>
          <w:pgMar w:left="240" w:top="274" w:right="279" w:bottom="1440" w:gutter="0" w:footer="0" w:header="0"/>
        </w:sectPr>
      </w:pPr>
    </w:p>
    <w:bookmarkStart w:id="5" w:name="page6"/>
    <w:bookmarkEnd w:id="5"/>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u w:val="single" w:color="auto"/>
          <w:color w:val="auto"/>
        </w:rPr>
        <w:t>Certification.</w:t>
      </w:r>
    </w:p>
    <w:p>
      <w:pPr>
        <w:spacing w:after="0" w:line="231" w:lineRule="exact"/>
        <w:rPr>
          <w:sz w:val="20"/>
          <w:szCs w:val="20"/>
          <w:color w:val="auto"/>
        </w:rPr>
      </w:pPr>
    </w:p>
    <w:p>
      <w:pPr>
        <w:jc w:val="both"/>
        <w:ind w:left="1020" w:firstLine="43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10, 2003</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STEWART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36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1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2019-12-13T16:24:34Z</dcterms:created>
  <dcterms:modified xsi:type="dcterms:W3CDTF">2019-12-13T16:24:34Z</dcterms:modified>
</cp:coreProperties>
</file>