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26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RAU JOHN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0"/>
        <w:spacing w:after="0" w:line="365" w:lineRule="auto"/>
        <w:rPr>
          <w:sz w:val="20"/>
          <w:szCs w:val="20"/>
          <w:color w:val="auto"/>
        </w:rPr>
      </w:pPr>
      <w:r>
        <w:rPr>
          <w:rFonts w:ascii="Times New Roman" w:cs="Times New Roman" w:eastAsia="Times New Roman" w:hAnsi="Times New Roman"/>
          <w:sz w:val="17"/>
          <w:szCs w:val="17"/>
          <w:color w:val="0000FF"/>
        </w:rPr>
        <w:t>C/O WORLD FUEL SERVICES CORPORATION 9800 N.W. 41ST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WORLD FUEL SERVICES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12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0"/>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900" w:type="dxa"/>
            <w:vAlign w:val="bottom"/>
            <w:tcBorders>
              <w:bottom w:val="single" w:sz="8" w:color="808080"/>
            </w:tcBorders>
          </w:tcPr>
          <w:p>
            <w:pPr>
              <w:spacing w:after="0"/>
              <w:rPr>
                <w:sz w:val="16"/>
                <w:szCs w:val="16"/>
                <w:color w:val="auto"/>
              </w:rPr>
            </w:pPr>
          </w:p>
        </w:tc>
        <w:tc>
          <w:tcPr>
            <w:tcW w:w="720" w:type="dxa"/>
            <w:vAlign w:val="bottom"/>
            <w:tcBorders>
              <w:bottom w:val="single" w:sz="8" w:color="808080"/>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restart"/>
          </w:tcPr>
          <w:p>
            <w:pPr>
              <w:ind w:left="12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EVP, Aviation, Land &amp; Marine</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03/15/2023</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jc w:val="center"/>
              <w:ind w:left="26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268"/>
              <w:spacing w:after="0"/>
              <w:rPr>
                <w:sz w:val="20"/>
                <w:szCs w:val="20"/>
                <w:color w:val="auto"/>
              </w:rPr>
            </w:pPr>
            <w:r>
              <w:rPr>
                <w:rFonts w:ascii="Times New Roman" w:cs="Times New Roman" w:eastAsia="Times New Roman" w:hAnsi="Times New Roman"/>
                <w:sz w:val="17"/>
                <w:szCs w:val="17"/>
                <w:color w:val="0000FF"/>
              </w:rPr>
              <w:t>03/15/2023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2,675</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23.97</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98,236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268"/>
              <w:spacing w:after="0"/>
              <w:rPr>
                <w:sz w:val="20"/>
                <w:szCs w:val="20"/>
                <w:color w:val="auto"/>
              </w:rPr>
            </w:pPr>
            <w:r>
              <w:rPr>
                <w:rFonts w:ascii="Times New Roman" w:cs="Times New Roman" w:eastAsia="Times New Roman" w:hAnsi="Times New Roman"/>
                <w:sz w:val="17"/>
                <w:szCs w:val="17"/>
                <w:color w:val="0000FF"/>
              </w:rPr>
              <w:t>03/15/2023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9"/>
              </w:rPr>
              <w:t>514</w:t>
            </w:r>
            <w:r>
              <w:rPr>
                <w:rFonts w:ascii="Times New Roman" w:cs="Times New Roman" w:eastAsia="Times New Roman" w:hAnsi="Times New Roman"/>
                <w:sz w:val="22"/>
                <w:szCs w:val="22"/>
                <w:color w:val="008000"/>
                <w:w w:val="89"/>
                <w:vertAlign w:val="superscript"/>
              </w:rPr>
              <w:t>(3)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23.97</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97,722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268"/>
              <w:spacing w:after="0"/>
              <w:rPr>
                <w:sz w:val="20"/>
                <w:szCs w:val="20"/>
                <w:color w:val="auto"/>
              </w:rPr>
            </w:pPr>
            <w:r>
              <w:rPr>
                <w:rFonts w:ascii="Times New Roman" w:cs="Times New Roman" w:eastAsia="Times New Roman" w:hAnsi="Times New Roman"/>
                <w:sz w:val="17"/>
                <w:szCs w:val="17"/>
                <w:color w:val="0000FF"/>
              </w:rPr>
              <w:t>03/15/2023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2,339</w:t>
            </w:r>
            <w:r>
              <w:rPr>
                <w:rFonts w:ascii="Times New Roman" w:cs="Times New Roman" w:eastAsia="Times New Roman" w:hAnsi="Times New Roman"/>
                <w:sz w:val="22"/>
                <w:szCs w:val="22"/>
                <w:color w:val="008000"/>
                <w:w w:val="93"/>
                <w:vertAlign w:val="superscript"/>
              </w:rPr>
              <w:t>(4)</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23.97</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95,383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268"/>
              <w:spacing w:after="0"/>
              <w:rPr>
                <w:sz w:val="20"/>
                <w:szCs w:val="20"/>
                <w:color w:val="auto"/>
              </w:rPr>
            </w:pPr>
            <w:r>
              <w:rPr>
                <w:rFonts w:ascii="Times New Roman" w:cs="Times New Roman" w:eastAsia="Times New Roman" w:hAnsi="Times New Roman"/>
                <w:sz w:val="17"/>
                <w:szCs w:val="17"/>
                <w:color w:val="0000FF"/>
              </w:rPr>
              <w:t>03/15/2023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2,378</w:t>
            </w:r>
            <w:r>
              <w:rPr>
                <w:rFonts w:ascii="Times New Roman" w:cs="Times New Roman" w:eastAsia="Times New Roman" w:hAnsi="Times New Roman"/>
                <w:sz w:val="22"/>
                <w:szCs w:val="22"/>
                <w:color w:val="008000"/>
                <w:w w:val="93"/>
                <w:vertAlign w:val="superscript"/>
              </w:rPr>
              <w:t>(5)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23.97</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93,005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268"/>
              <w:spacing w:after="0"/>
              <w:rPr>
                <w:sz w:val="20"/>
                <w:szCs w:val="20"/>
                <w:color w:val="auto"/>
              </w:rPr>
            </w:pPr>
            <w:r>
              <w:rPr>
                <w:rFonts w:ascii="Times New Roman" w:cs="Times New Roman" w:eastAsia="Times New Roman" w:hAnsi="Times New Roman"/>
                <w:sz w:val="17"/>
                <w:szCs w:val="17"/>
                <w:color w:val="0000FF"/>
              </w:rPr>
              <w:t>03/15/2023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25,866</w:t>
            </w:r>
            <w:r>
              <w:rPr>
                <w:rFonts w:ascii="Times New Roman" w:cs="Times New Roman" w:eastAsia="Times New Roman" w:hAnsi="Times New Roman"/>
                <w:sz w:val="22"/>
                <w:szCs w:val="22"/>
                <w:color w:val="008000"/>
                <w:w w:val="97"/>
                <w:vertAlign w:val="superscript"/>
              </w:rPr>
              <w:t>(6)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118,871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 aggregate of 6,797 restricted stock units held by the reporting person vested and settled on March 15, 2023. The issuer withheld the reported shares to cover the reporting person's tax liability associated with these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shown is the closing price of the issuer's common stock on the NYSE on March 15, 2023.</w:t>
      </w:r>
    </w:p>
    <w:p>
      <w:pPr>
        <w:spacing w:after="0" w:line="50"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 aggregate of 1,306 restricted stock units held by the reporting person vested and settled on March 15, 2023. The issuer withheld the reported shares to cover the reporting person's tax liability associated with these restricted stock units.</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 aggregate of 5,944 restricted stock units held by the reporting person vested and settled on March 15, 2023. The issuer withheld the reported shares to cover the reporting person's tax liability associated with these restricted stock units.</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 aggregate of 6,041 restricted stock units held by the reporting person vested and settled on March 15, 2023. The issuer withheld the reported shares to cover the reporting person's tax liability associated with these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will vest in three equal annual installments beginning on March 15, 2024.</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Amy Quintana Avalos,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03/17/2023</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6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66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63999"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2023-03-17T19:17:06Z</dcterms:created>
  <dcterms:modified xsi:type="dcterms:W3CDTF">2023-03-17T19:17:06Z</dcterms:modified>
</cp:coreProperties>
</file>